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营业执照</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技能大师工作室建设项目申报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人社部、财政部《关于印发&lt;国家高技能人才振兴计划实施方案&gt;的通知》（人社部发〔2011〕109号）附件3 技能大师工作室建设项目实施办法 四、技能大师工作室条件和评审程序 (二)依托企业建立工作室，企业应当具备的条件：有符合条件的技能大师；技能人才比较密集；高度重视技能人才队伍建设工作，建立了较为完善的技能人才培养、评价、选拔、使用和激励政策制度；企业职工教育经费用于高技能人才培养、交流等方面的费用不低于50%，能够为技能大师工作室提供相应的资金支持以及包括场所、设备在内的必要工作条件。(三)依托城市公共职业技能实训基地建立技能大师工作室，城市公共职业技能实训基地应当具备的条件：有符合条件的技能大师；高度重视技能人才队伍建设，制定了一系列加快高技能人才队伍建设的政策措施；能够为技能大师工作室提供相应的资金支持以及包括场所、设备在内的必要的工作条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营业执照</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hint="eastAsia"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hint="eastAsia" w:ascii="Times New Roman" w:hAnsi="Times New Roman" w:eastAsia="仿宋_GB2312"/>
          <w:color w:val="auto"/>
          <w:sz w:val="30"/>
          <w:szCs w:val="30"/>
        </w:rPr>
      </w:pPr>
      <w:bookmarkStart w:id="0" w:name="_GoBack"/>
      <w:bookmarkEnd w:id="0"/>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4D17561"/>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5B5305F"/>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2BA5573"/>
    <w:rsid w:val="4382301D"/>
    <w:rsid w:val="457D198C"/>
    <w:rsid w:val="45A60434"/>
    <w:rsid w:val="473A0EFA"/>
    <w:rsid w:val="4787086A"/>
    <w:rsid w:val="4DE05C41"/>
    <w:rsid w:val="4E197645"/>
    <w:rsid w:val="4E7B5F03"/>
    <w:rsid w:val="4EB62015"/>
    <w:rsid w:val="4EC74532"/>
    <w:rsid w:val="52B823D2"/>
    <w:rsid w:val="53B108DA"/>
    <w:rsid w:val="54897E75"/>
    <w:rsid w:val="55702A8D"/>
    <w:rsid w:val="5693399B"/>
    <w:rsid w:val="56E10C17"/>
    <w:rsid w:val="570E7990"/>
    <w:rsid w:val="57B308E7"/>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3665634"/>
    <w:rsid w:val="65650DCC"/>
    <w:rsid w:val="666F47C4"/>
    <w:rsid w:val="6AB26021"/>
    <w:rsid w:val="6CA5309D"/>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