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jc w:val="center"/>
        <w:rPr>
          <w:rFonts w:ascii="方正小标宋_GBK" w:hAnsi="方正小标宋_GBK" w:eastAsia="方正小标宋_GBK"/>
          <w:color w:val="000000"/>
          <w:sz w:val="36"/>
          <w:szCs w:val="36"/>
        </w:rPr>
      </w:pPr>
      <w:r>
        <w:rPr>
          <w:rFonts w:hint="eastAsia" w:ascii="方正小标宋_GBK" w:hAnsi="方正小标宋_GBK" w:eastAsia="方正小标宋_GBK"/>
          <w:b w:val="0"/>
          <w:bCs w:val="0"/>
          <w:color w:val="000000"/>
          <w:sz w:val="36"/>
          <w:szCs w:val="36"/>
          <w:lang w:val="en-US" w:eastAsia="zh-CN"/>
        </w:rPr>
        <w:t xml:space="preserve"> </w:t>
      </w:r>
      <w:r>
        <w:rPr>
          <w:rFonts w:hint="eastAsia" w:ascii="方正小标宋_GBK" w:hAnsi="方正小标宋_GBK" w:eastAsia="方正小标宋_GBK"/>
          <w:b w:val="0"/>
          <w:bCs w:val="0"/>
          <w:color w:val="000000"/>
          <w:sz w:val="36"/>
          <w:szCs w:val="36"/>
        </w:rPr>
        <w:t>公共文化服务领域基层政务公开标准目录</w:t>
      </w:r>
    </w:p>
    <w:tbl>
      <w:tblPr>
        <w:tblStyle w:val="3"/>
        <w:tblW w:w="50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737"/>
        <w:gridCol w:w="1543"/>
        <w:gridCol w:w="1901"/>
        <w:gridCol w:w="2001"/>
        <w:gridCol w:w="1714"/>
        <w:gridCol w:w="1452"/>
        <w:gridCol w:w="3712"/>
        <w:gridCol w:w="372"/>
        <w:gridCol w:w="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序号</w:t>
            </w:r>
          </w:p>
        </w:tc>
        <w:tc>
          <w:tcPr>
            <w:tcW w:w="791" w:type="pct"/>
            <w:gridSpan w:val="2"/>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公开事项</w:t>
            </w:r>
          </w:p>
        </w:tc>
        <w:tc>
          <w:tcPr>
            <w:tcW w:w="659"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公开内容（要素）</w:t>
            </w:r>
          </w:p>
        </w:tc>
        <w:tc>
          <w:tcPr>
            <w:tcW w:w="694"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公开依据</w:t>
            </w:r>
          </w:p>
        </w:tc>
        <w:tc>
          <w:tcPr>
            <w:tcW w:w="594"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公开时限</w:t>
            </w:r>
          </w:p>
        </w:tc>
        <w:tc>
          <w:tcPr>
            <w:tcW w:w="503"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公开主体</w:t>
            </w:r>
          </w:p>
        </w:tc>
        <w:tc>
          <w:tcPr>
            <w:tcW w:w="1288"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公开渠道和载体</w:t>
            </w:r>
          </w:p>
        </w:tc>
        <w:tc>
          <w:tcPr>
            <w:tcW w:w="129"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公开对象</w:t>
            </w:r>
          </w:p>
        </w:tc>
        <w:tc>
          <w:tcPr>
            <w:tcW w:w="152" w:type="pct"/>
            <w:noWrap w:val="0"/>
            <w:vAlign w:val="center"/>
          </w:tcPr>
          <w:p>
            <w:pPr>
              <w:widowControl/>
              <w:jc w:val="center"/>
              <w:rPr>
                <w:rFonts w:hint="eastAsia" w:ascii="宋体" w:hAnsi="宋体" w:cs="宋体"/>
                <w:b/>
                <w:bCs/>
                <w:color w:val="000000"/>
                <w:kern w:val="0"/>
                <w:sz w:val="22"/>
              </w:rPr>
            </w:pPr>
            <w:r>
              <w:rPr>
                <w:rFonts w:hint="eastAsia" w:ascii="宋体" w:hAnsi="宋体" w:cs="宋体"/>
                <w:b/>
                <w:bCs/>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许可</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互联网上网服务营业场所经营许可</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3.《互联网上网服务营业场所管理条例》（国务院令第363号）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w:t>
            </w:r>
          </w:p>
        </w:tc>
        <w:tc>
          <w:tcPr>
            <w:tcW w:w="152"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文艺表演团体设立审批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3.《营业性演出管理条例》（国务院令第439号）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4.《文化部关于落实“先照后证”改进文化市场行政审批工作的通知》（文市函〔2015〕627号) </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eastAsia="宋体" w:cs="宋体"/>
                <w:color w:val="000000"/>
                <w:kern w:val="2"/>
                <w:sz w:val="20"/>
                <w:szCs w:val="20"/>
                <w:lang w:val="en-US" w:eastAsia="zh-CN" w:bidi="ar-SA"/>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w:t>
            </w:r>
          </w:p>
        </w:tc>
        <w:tc>
          <w:tcPr>
            <w:tcW w:w="25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许可</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营业性演出审批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3.《营业性演出管理条例》（国务院令第439号）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4.《文化部关于落实“先照后证”改进文化市场行政审批工作的通知》（文市函〔2015〕627号)  </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4"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许可</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娱乐场所经营许可</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8"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5</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县级文物保护单位保护范围内其他建设工程或者爆破、钻探、挖掘等作业审批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县级文物行政部门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3"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6</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县级文物保护单位建设控制地带内建设工程设计方案审批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县级文物行政部门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97"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7</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县级文物保护单位实施原址保护措施审批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县级文物行政部门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口入户/现场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eastAsia="zh-CN"/>
              </w:rPr>
              <w:t>精准推送</w:t>
            </w: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bookmarkStart w:id="0" w:name="_GoBack"/>
            <w:bookmarkEnd w:id="0"/>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8</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许可</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县级文物保护单位和未核定为文物保护单位的不可移动文物修缮审批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县级文物行政部门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9</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核定为县级文物保护单位的属于国家所有的纪念建筑物或者古建筑改变用途审批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县级文物行政部门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10</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非国有文物收藏单位和其他单位举办展览需借用国有馆藏二级以下文物审批</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1.办事指南：主要包括事项名称、设定依据、申请条件、办理材料、办理地点、办理时间、联系电话、办理流程、办理期限、申请行政许可需要提交的全部材料目录及办理情况;</w:t>
            </w:r>
            <w:r>
              <w:rPr>
                <w:rFonts w:hint="eastAsia" w:ascii="宋体" w:hAnsi="宋体" w:cs="宋体"/>
                <w:color w:val="000000"/>
                <w:sz w:val="20"/>
                <w:szCs w:val="20"/>
              </w:rPr>
              <w:br w:type="textWrapping"/>
            </w:r>
            <w:r>
              <w:rPr>
                <w:rFonts w:hint="eastAsia" w:ascii="宋体" w:hAnsi="宋体" w:cs="宋体"/>
                <w:color w:val="000000"/>
                <w:sz w:val="20"/>
                <w:szCs w:val="20"/>
              </w:rPr>
              <w:t>2.行政许可决定。</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1.《中华人民共和国行政许可法》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■公开查阅点</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■政务服务中心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11</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对互联网上网服务营业场所违法行为的行政处罚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2.《互联网上网服务营业场所管理条例》（国务院令第363号）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广播电视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12</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对娱乐场所违法行为的行政处罚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 《</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2.《娱乐场所管理条例》（</w:t>
            </w:r>
            <w:r>
              <w:rPr>
                <w:rFonts w:ascii="宋体" w:hAnsi="宋体" w:cs="宋体"/>
                <w:color w:val="000000"/>
                <w:sz w:val="20"/>
                <w:szCs w:val="20"/>
              </w:rPr>
              <w:t>国务院令第458号</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4.《国务院办公厅关于全面推行行政执法公示制度执法全过程记录制度重大执法决定法制审核制度的指导意见》（国办发〔2018〕118号）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5.《娱乐场所管理办法》（文化部令第55号发布，第57号予以修改）</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13</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对营业性演出违法行为的行政处罚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《营业性演出管理条例》（国务院令第439号）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4.《营业性演出管理条例实施细则》（文化部令47号发布，第57号予以修改）</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Theme="minorEastAsia" w:hAnsiTheme="minorEastAsia" w:eastAsiaTheme="minorEastAsia" w:cstheme="minorEastAsia"/>
                <w:sz w:val="20"/>
                <w:szCs w:val="20"/>
              </w:rPr>
            </w:pPr>
            <w:r>
              <w:rPr>
                <w:rFonts w:hint="eastAsia" w:ascii="宋体" w:hAnsi="宋体" w:cs="宋体"/>
                <w:color w:val="000000"/>
                <w:sz w:val="20"/>
                <w:szCs w:val="20"/>
              </w:rPr>
              <w:t xml:space="preserve">      </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14</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对艺术品经营违法行为的行政处罚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4.《艺术品经营管理办法》（文化部令第56号发布）</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15</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对网络游戏运营单位违法行为的行政处罚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4.《网络游戏管理暂行办法》（</w:t>
            </w:r>
            <w:r>
              <w:rPr>
                <w:rFonts w:ascii="宋体" w:hAnsi="宋体" w:cs="宋体"/>
                <w:color w:val="000000"/>
                <w:sz w:val="20"/>
                <w:szCs w:val="20"/>
              </w:rPr>
              <w:t>文化部令第57号</w:t>
            </w:r>
            <w:r>
              <w:rPr>
                <w:rFonts w:hint="eastAsia" w:ascii="宋体" w:hAnsi="宋体" w:cs="宋体"/>
                <w:color w:val="000000"/>
                <w:sz w:val="20"/>
                <w:szCs w:val="20"/>
              </w:rPr>
              <w:t>）</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16</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对社会艺术水平考级活动违法行为的行政处罚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 《</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4.《社会艺术水平考级管理办法》（文化部令第31号，第57号予以修改）</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17</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对互联网文化单位违法行为的行政处罚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 《</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4.互联网文化管理暂行规定》（文化部令第51号，第57号予以修改）  </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Theme="minorEastAsia" w:hAnsiTheme="minorEastAsia" w:eastAsiaTheme="minorEastAsia" w:cstheme="minorEastAsia"/>
                <w:sz w:val="20"/>
                <w:szCs w:val="20"/>
              </w:rPr>
            </w:pPr>
            <w:r>
              <w:rPr>
                <w:rFonts w:hint="eastAsia" w:ascii="宋体" w:hAnsi="宋体" w:cs="宋体"/>
                <w:color w:val="000000"/>
                <w:sz w:val="20"/>
                <w:szCs w:val="20"/>
              </w:rPr>
              <w:t xml:space="preserve">      </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18</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对擅自在文物保护单位的保护范围内进行建设工程或者爆破、钻探、挖掘等作业的行为进行处罚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19</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对在文物保护单位的建设控制地带内进行建设工程，其工程设计方案未经文物行政部门同意、报城乡建设规划部门批准，对文物保护单位的历史风貌造成破坏的行为进行处罚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 《</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20</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对擅自迁移、拆除不可移动文物的行为进行处罚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5"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21</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对擅自修缮不可移动文物，明显改变文物原状的行为进行处罚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22</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对擅自在原址重建已全部毁坏的不可移动文物，造成文物破坏的行为进行处罚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8"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23</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对施工单位未取得文物保护工程资质证书，擅自从事文物修缮、迁移、重建的行为进行处罚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Theme="minorEastAsia" w:hAnsiTheme="minorEastAsia" w:eastAsiaTheme="minorEastAsia" w:cstheme="minorEastAsia"/>
                <w:sz w:val="20"/>
                <w:szCs w:val="20"/>
              </w:rPr>
            </w:pPr>
            <w:r>
              <w:rPr>
                <w:rFonts w:hint="eastAsia" w:ascii="宋体" w:hAnsi="宋体" w:cs="宋体"/>
                <w:color w:val="000000"/>
                <w:sz w:val="20"/>
                <w:szCs w:val="20"/>
              </w:rPr>
              <w:t xml:space="preserve">      </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2"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24</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对转让或者抵押国有不可移动文物的行为进行处罚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2"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25</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对将国有不可移动文物作为企业资产经营的行为进行处罚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5"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26</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对将非国有不可移动文物转让或者抵押给外国人的行为进行处罚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27</w:t>
            </w:r>
          </w:p>
        </w:tc>
        <w:tc>
          <w:tcPr>
            <w:tcW w:w="255" w:type="pct"/>
            <w:vMerge w:val="restar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对擅自改变国有文物保护单位用途的行为进行处罚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28</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对文物收藏单位未按照国家有关规定配备防火、防盗、防自然损坏的设施的行为进行处罚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29</w:t>
            </w:r>
          </w:p>
        </w:tc>
        <w:tc>
          <w:tcPr>
            <w:tcW w:w="255" w:type="pct"/>
            <w:vMerge w:val="restar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对国有文物收藏单位法定代表人离任时未按照馆藏文物档案移交馆藏文物，或者所移交的馆藏文物与馆藏文物档案不符的行为进行处罚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30</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对将国有馆藏文物赠与、出租或者出售给其他单位、个人的行为进行处罚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6"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31</w:t>
            </w:r>
          </w:p>
        </w:tc>
        <w:tc>
          <w:tcPr>
            <w:tcW w:w="255" w:type="pct"/>
            <w:vMerge w:val="restar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对违法借用、交换、处置国有馆藏文物的行为进行处罚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32</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对违法挪用或者侵占依法调拨、交换、出借文物所得补偿费用的行为进行处罚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7"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33</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对发现文物隐匿不报，或者拒不上交的行为进行处罚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w:t>
            </w:r>
            <w:r>
              <w:rPr>
                <w:rFonts w:ascii="宋体" w:hAnsi="宋体" w:cs="宋体"/>
                <w:color w:val="000000"/>
                <w:sz w:val="20"/>
                <w:szCs w:val="20"/>
              </w:rPr>
              <w:t>中华人民共和国行政处罚法</w:t>
            </w:r>
            <w:r>
              <w:rPr>
                <w:rFonts w:hint="eastAsia" w:ascii="宋体" w:hAnsi="宋体" w:cs="宋体"/>
                <w:color w:val="000000"/>
                <w:sz w:val="20"/>
                <w:szCs w:val="20"/>
              </w:rPr>
              <w:t>》</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0"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34</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对未按照规定移交拣选文物的行为进行处罚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5"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35</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对未取得相应等级的文物保护工程资质证书，擅自承担文物保护单位的修缮、迁移、重建工程逾期不改正，或者造成严重后果的行为进行处罚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7"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36</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处罚</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对未取得资质证书，擅自从事馆藏文物的修复、复制、拓印活动的行为进行处罚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37</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对擅自修复、复制、拓印馆藏珍贵文物的行为进行处罚</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3.处罚依据；</w:t>
            </w:r>
            <w:r>
              <w:rPr>
                <w:rFonts w:hint="eastAsia" w:ascii="宋体" w:hAnsi="宋体" w:cs="宋体"/>
                <w:color w:val="000000"/>
                <w:sz w:val="20"/>
                <w:szCs w:val="20"/>
              </w:rPr>
              <w:br w:type="textWrapping"/>
            </w:r>
            <w:r>
              <w:rPr>
                <w:rFonts w:hint="eastAsia" w:ascii="宋体" w:hAnsi="宋体" w:cs="宋体"/>
                <w:color w:val="000000"/>
                <w:sz w:val="20"/>
                <w:szCs w:val="20"/>
              </w:rPr>
              <w:t>4.处罚结果。</w:t>
            </w:r>
          </w:p>
        </w:tc>
        <w:tc>
          <w:tcPr>
            <w:tcW w:w="694" w:type="pct"/>
            <w:vMerge w:val="continue"/>
            <w:noWrap w:val="0"/>
            <w:vAlign w:val="center"/>
          </w:tcPr>
          <w:p>
            <w:pPr>
              <w:spacing w:line="240" w:lineRule="exact"/>
              <w:rPr>
                <w:rFonts w:hint="eastAsia" w:ascii="宋体" w:hAnsi="宋体" w:cs="宋体"/>
                <w:color w:val="000000"/>
                <w:sz w:val="20"/>
                <w:szCs w:val="20"/>
              </w:rPr>
            </w:pP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执法决定信息在决定作出之日起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市级文物主管部门、县级文物主管部门</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38</w:t>
            </w:r>
          </w:p>
        </w:tc>
        <w:tc>
          <w:tcPr>
            <w:tcW w:w="25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行政</w:t>
            </w:r>
            <w:r>
              <w:rPr>
                <w:rFonts w:hint="eastAsia" w:ascii="宋体" w:hAnsi="宋体" w:cs="宋体"/>
                <w:color w:val="000000"/>
                <w:sz w:val="20"/>
                <w:szCs w:val="20"/>
              </w:rPr>
              <w:br w:type="textWrapping"/>
            </w:r>
            <w:r>
              <w:rPr>
                <w:rFonts w:hint="eastAsia" w:ascii="宋体" w:hAnsi="宋体" w:cs="宋体"/>
                <w:color w:val="000000"/>
                <w:sz w:val="20"/>
                <w:szCs w:val="20"/>
              </w:rPr>
              <w:t>强制</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对擅自从事互联网上网服务经营活动场所的查封，专用工具、设备的扣押</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1.主体信息；</w:t>
            </w:r>
            <w:r>
              <w:rPr>
                <w:rFonts w:hint="eastAsia" w:ascii="宋体" w:hAnsi="宋体" w:cs="宋体"/>
                <w:color w:val="000000"/>
                <w:sz w:val="20"/>
                <w:szCs w:val="20"/>
              </w:rPr>
              <w:br w:type="textWrapping"/>
            </w:r>
            <w:r>
              <w:rPr>
                <w:rFonts w:hint="eastAsia" w:ascii="宋体" w:hAnsi="宋体" w:cs="宋体"/>
                <w:color w:val="000000"/>
                <w:sz w:val="20"/>
                <w:szCs w:val="20"/>
              </w:rPr>
              <w:t>2.案由；</w:t>
            </w:r>
            <w:r>
              <w:rPr>
                <w:rFonts w:hint="eastAsia" w:ascii="宋体" w:hAnsi="宋体" w:cs="宋体"/>
                <w:color w:val="000000"/>
                <w:sz w:val="20"/>
                <w:szCs w:val="20"/>
              </w:rPr>
              <w:br w:type="textWrapping"/>
            </w:r>
            <w:r>
              <w:rPr>
                <w:rFonts w:hint="eastAsia" w:ascii="宋体" w:hAnsi="宋体" w:cs="宋体"/>
                <w:color w:val="000000"/>
                <w:sz w:val="20"/>
                <w:szCs w:val="20"/>
              </w:rPr>
              <w:t>3.处理依据；</w:t>
            </w:r>
            <w:r>
              <w:rPr>
                <w:rFonts w:hint="eastAsia" w:ascii="宋体" w:hAnsi="宋体" w:cs="宋体"/>
                <w:color w:val="000000"/>
                <w:sz w:val="20"/>
                <w:szCs w:val="20"/>
              </w:rPr>
              <w:br w:type="textWrapping"/>
            </w:r>
            <w:r>
              <w:rPr>
                <w:rFonts w:hint="eastAsia" w:ascii="宋体" w:hAnsi="宋体" w:cs="宋体"/>
                <w:color w:val="000000"/>
                <w:sz w:val="20"/>
                <w:szCs w:val="20"/>
              </w:rPr>
              <w:t>4.处理结果。</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2.《互联网上网服务营业场所管理条例》（国务院令第363号）《国务院关于促进市场公平竞争维护市场正常秩序的若干意见》（国发〔2014〕20号）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w:t>
            </w:r>
            <w:r>
              <w:rPr>
                <w:rFonts w:hint="eastAsia" w:ascii="宋体" w:hAnsi="宋体" w:cs="宋体"/>
                <w:color w:val="000000"/>
                <w:sz w:val="20"/>
                <w:szCs w:val="20"/>
                <w:lang w:val="en-US" w:eastAsia="zh-CN"/>
              </w:rPr>
              <w:t>5</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市文广新旅局、县（市、区）文广新旅局</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      </w:t>
            </w: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39</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公共</w:t>
            </w:r>
            <w:r>
              <w:rPr>
                <w:rFonts w:hint="eastAsia" w:ascii="宋体" w:hAnsi="宋体" w:cs="宋体"/>
                <w:color w:val="000000"/>
                <w:sz w:val="20"/>
                <w:szCs w:val="20"/>
              </w:rPr>
              <w:br w:type="textWrapping"/>
            </w:r>
            <w:r>
              <w:rPr>
                <w:rFonts w:hint="eastAsia" w:ascii="宋体" w:hAnsi="宋体" w:cs="宋体"/>
                <w:color w:val="000000"/>
                <w:sz w:val="20"/>
                <w:szCs w:val="20"/>
              </w:rPr>
              <w:t>服务</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公共文化机构免费开放信息</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1.机构名称；</w:t>
            </w:r>
            <w:r>
              <w:rPr>
                <w:rFonts w:hint="eastAsia" w:ascii="宋体" w:hAnsi="宋体" w:cs="宋体"/>
                <w:color w:val="000000"/>
                <w:sz w:val="20"/>
                <w:szCs w:val="20"/>
              </w:rPr>
              <w:br w:type="textWrapping"/>
            </w:r>
            <w:r>
              <w:rPr>
                <w:rFonts w:hint="eastAsia" w:ascii="宋体" w:hAnsi="宋体" w:cs="宋体"/>
                <w:color w:val="000000"/>
                <w:sz w:val="20"/>
                <w:szCs w:val="20"/>
              </w:rPr>
              <w:t>2.开放时间；</w:t>
            </w:r>
            <w:r>
              <w:rPr>
                <w:rFonts w:hint="eastAsia" w:ascii="宋体" w:hAnsi="宋体" w:cs="宋体"/>
                <w:color w:val="000000"/>
                <w:sz w:val="20"/>
                <w:szCs w:val="20"/>
              </w:rPr>
              <w:br w:type="textWrapping"/>
            </w:r>
            <w:r>
              <w:rPr>
                <w:rFonts w:hint="eastAsia" w:ascii="宋体" w:hAnsi="宋体" w:cs="宋体"/>
                <w:color w:val="000000"/>
                <w:sz w:val="20"/>
                <w:szCs w:val="20"/>
              </w:rPr>
              <w:t>3.机构地址；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5.临时停止开放信息。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1.《公共文化服务保障法》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3.《文化部 财政部关于推进全国美术馆、公共图书馆、文化馆（站）免费开放工作的意见》（文财务发〔2011〕5号）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4.《文化部 财政部关于做好城市社区(街道)文化中心免费开放工作的通知》(文财务函〔2016〕171号)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40</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特殊群体公共文化服务信息</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1.机构名称；</w:t>
            </w:r>
            <w:r>
              <w:rPr>
                <w:rFonts w:hint="eastAsia" w:ascii="宋体" w:hAnsi="宋体" w:cs="宋体"/>
                <w:color w:val="000000"/>
                <w:sz w:val="20"/>
                <w:szCs w:val="20"/>
              </w:rPr>
              <w:br w:type="textWrapping"/>
            </w:r>
            <w:r>
              <w:rPr>
                <w:rFonts w:hint="eastAsia" w:ascii="宋体" w:hAnsi="宋体" w:cs="宋体"/>
                <w:color w:val="000000"/>
                <w:sz w:val="20"/>
                <w:szCs w:val="20"/>
              </w:rPr>
              <w:t>2.开放时间；</w:t>
            </w:r>
            <w:r>
              <w:rPr>
                <w:rFonts w:hint="eastAsia" w:ascii="宋体" w:hAnsi="宋体" w:cs="宋体"/>
                <w:color w:val="000000"/>
                <w:sz w:val="20"/>
                <w:szCs w:val="20"/>
              </w:rPr>
              <w:br w:type="textWrapping"/>
            </w:r>
            <w:r>
              <w:rPr>
                <w:rFonts w:hint="eastAsia" w:ascii="宋体" w:hAnsi="宋体" w:cs="宋体"/>
                <w:color w:val="000000"/>
                <w:sz w:val="20"/>
                <w:szCs w:val="20"/>
              </w:rPr>
              <w:t>3.机构地址；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5.临时停止开放信息。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1.《残疾人保障法》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3.《中共中央办公厅 国务院办公厅印发关于加快构建现代公共文化服务体系的意见》（中办发〔2015〕2号）》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41</w:t>
            </w:r>
          </w:p>
        </w:tc>
        <w:tc>
          <w:tcPr>
            <w:tcW w:w="255" w:type="pct"/>
            <w:vMerge w:val="restar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公共</w:t>
            </w:r>
            <w:r>
              <w:rPr>
                <w:rFonts w:hint="eastAsia" w:ascii="宋体" w:hAnsi="宋体" w:cs="宋体"/>
                <w:color w:val="000000"/>
                <w:sz w:val="20"/>
                <w:szCs w:val="20"/>
              </w:rPr>
              <w:br w:type="textWrapping"/>
            </w:r>
            <w:r>
              <w:rPr>
                <w:rFonts w:hint="eastAsia" w:ascii="宋体" w:hAnsi="宋体" w:cs="宋体"/>
                <w:color w:val="000000"/>
                <w:sz w:val="20"/>
                <w:szCs w:val="20"/>
              </w:rPr>
              <w:t>服务</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组织开展群众文化活动</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1.机构名称；</w:t>
            </w:r>
            <w:r>
              <w:rPr>
                <w:rFonts w:hint="eastAsia" w:ascii="宋体" w:hAnsi="宋体" w:cs="宋体"/>
                <w:color w:val="000000"/>
                <w:sz w:val="20"/>
                <w:szCs w:val="20"/>
              </w:rPr>
              <w:br w:type="textWrapping"/>
            </w:r>
            <w:r>
              <w:rPr>
                <w:rFonts w:hint="eastAsia" w:ascii="宋体" w:hAnsi="宋体" w:cs="宋体"/>
                <w:color w:val="000000"/>
                <w:sz w:val="20"/>
                <w:szCs w:val="20"/>
              </w:rPr>
              <w:t>2.开放时间；</w:t>
            </w:r>
            <w:r>
              <w:rPr>
                <w:rFonts w:hint="eastAsia" w:ascii="宋体" w:hAnsi="宋体" w:cs="宋体"/>
                <w:color w:val="000000"/>
                <w:sz w:val="20"/>
                <w:szCs w:val="20"/>
              </w:rPr>
              <w:br w:type="textWrapping"/>
            </w:r>
            <w:r>
              <w:rPr>
                <w:rFonts w:hint="eastAsia" w:ascii="宋体" w:hAnsi="宋体" w:cs="宋体"/>
                <w:color w:val="000000"/>
                <w:sz w:val="20"/>
                <w:szCs w:val="20"/>
              </w:rPr>
              <w:t>3.机构地址；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5.临时停止活动信息。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w:t>
            </w:r>
            <w:r>
              <w:rPr>
                <w:rFonts w:hint="eastAsia"/>
              </w:rPr>
              <w:t xml:space="preserve"> </w:t>
            </w:r>
            <w:r>
              <w:rPr>
                <w:rFonts w:hint="eastAsia" w:ascii="宋体" w:hAnsi="宋体" w:cs="宋体"/>
                <w:color w:val="000000"/>
                <w:sz w:val="20"/>
                <w:szCs w:val="20"/>
              </w:rPr>
              <w:t>江西省人民政府办公厅关于推进社会公益事业建设领域政府信息公开的实施意见（赣府厅发〔2018〕22号）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3.《文化馆服务标准》(GB T 32939-2016 )</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both"/>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(电子屏)</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42</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下基层辅导、演出、展览和指导基层群众文化活动</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1.活动时间；</w:t>
            </w:r>
            <w:r>
              <w:rPr>
                <w:rFonts w:hint="eastAsia" w:ascii="宋体" w:hAnsi="宋体" w:cs="宋体"/>
                <w:color w:val="000000"/>
                <w:sz w:val="20"/>
                <w:szCs w:val="20"/>
              </w:rPr>
              <w:br w:type="textWrapping"/>
            </w:r>
            <w:r>
              <w:rPr>
                <w:rFonts w:hint="eastAsia" w:ascii="宋体" w:hAnsi="宋体" w:cs="宋体"/>
                <w:color w:val="000000"/>
                <w:sz w:val="20"/>
                <w:szCs w:val="20"/>
              </w:rPr>
              <w:t>2.活动单位；</w:t>
            </w:r>
            <w:r>
              <w:rPr>
                <w:rFonts w:hint="eastAsia" w:ascii="宋体" w:hAnsi="宋体" w:cs="宋体"/>
                <w:color w:val="000000"/>
                <w:sz w:val="20"/>
                <w:szCs w:val="20"/>
              </w:rPr>
              <w:br w:type="textWrapping"/>
            </w:r>
            <w:r>
              <w:rPr>
                <w:rFonts w:hint="eastAsia" w:ascii="宋体" w:hAnsi="宋体" w:cs="宋体"/>
                <w:color w:val="000000"/>
                <w:sz w:val="20"/>
                <w:szCs w:val="20"/>
              </w:rPr>
              <w:t>3.活动地址；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5.临时停止活动信息。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2.江西省人民政府办公厅关于推进社会公益事业建设领域政府信息公开的实施意见（赣府厅发〔2018〕22号）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3.《文化馆服务标准》(GB T 32939-2016 )</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43</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举办类展览、讲座信息</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1.活动时间；</w:t>
            </w:r>
            <w:r>
              <w:rPr>
                <w:rFonts w:hint="eastAsia" w:ascii="宋体" w:hAnsi="宋体" w:cs="宋体"/>
                <w:color w:val="000000"/>
                <w:sz w:val="20"/>
                <w:szCs w:val="20"/>
              </w:rPr>
              <w:br w:type="textWrapping"/>
            </w:r>
            <w:r>
              <w:rPr>
                <w:rFonts w:hint="eastAsia" w:ascii="宋体" w:hAnsi="宋体" w:cs="宋体"/>
                <w:color w:val="000000"/>
                <w:sz w:val="20"/>
                <w:szCs w:val="20"/>
              </w:rPr>
              <w:t>2.活动单位；</w:t>
            </w:r>
            <w:r>
              <w:rPr>
                <w:rFonts w:hint="eastAsia" w:ascii="宋体" w:hAnsi="宋体" w:cs="宋体"/>
                <w:color w:val="000000"/>
                <w:sz w:val="20"/>
                <w:szCs w:val="20"/>
              </w:rPr>
              <w:br w:type="textWrapping"/>
            </w:r>
            <w:r>
              <w:rPr>
                <w:rFonts w:hint="eastAsia" w:ascii="宋体" w:hAnsi="宋体" w:cs="宋体"/>
                <w:color w:val="000000"/>
                <w:sz w:val="20"/>
                <w:szCs w:val="20"/>
              </w:rPr>
              <w:t>3.活动地址；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5.临时停止活动信息。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w:t>
            </w:r>
            <w:r>
              <w:rPr>
                <w:rFonts w:hint="eastAsia"/>
              </w:rPr>
              <w:t xml:space="preserve"> </w:t>
            </w:r>
            <w:r>
              <w:rPr>
                <w:rFonts w:hint="eastAsia" w:ascii="宋体" w:hAnsi="宋体" w:cs="宋体"/>
                <w:color w:val="000000"/>
                <w:sz w:val="20"/>
                <w:szCs w:val="20"/>
              </w:rPr>
              <w:t>江西省人民政府办公厅关于推进社会公益事业建设领域政府信息公开的实施意见（赣府厅发〔2018〕22号）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3.《乡镇综合文化站管理办法》(中华人民共和国文化部令第48号)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1"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44</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辅导和培训基层文化骨干</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1.培训时间；</w:t>
            </w:r>
            <w:r>
              <w:rPr>
                <w:rFonts w:hint="eastAsia" w:ascii="宋体" w:hAnsi="宋体" w:cs="宋体"/>
                <w:color w:val="000000"/>
                <w:sz w:val="20"/>
                <w:szCs w:val="20"/>
              </w:rPr>
              <w:br w:type="textWrapping"/>
            </w:r>
            <w:r>
              <w:rPr>
                <w:rFonts w:hint="eastAsia" w:ascii="宋体" w:hAnsi="宋体" w:cs="宋体"/>
                <w:color w:val="000000"/>
                <w:sz w:val="20"/>
                <w:szCs w:val="20"/>
              </w:rPr>
              <w:t>2.培训单位；</w:t>
            </w:r>
            <w:r>
              <w:rPr>
                <w:rFonts w:hint="eastAsia" w:ascii="宋体" w:hAnsi="宋体" w:cs="宋体"/>
                <w:color w:val="000000"/>
                <w:sz w:val="20"/>
                <w:szCs w:val="20"/>
              </w:rPr>
              <w:br w:type="textWrapping"/>
            </w:r>
            <w:r>
              <w:rPr>
                <w:rFonts w:hint="eastAsia" w:ascii="宋体" w:hAnsi="宋体" w:cs="宋体"/>
                <w:color w:val="000000"/>
                <w:sz w:val="20"/>
                <w:szCs w:val="20"/>
              </w:rPr>
              <w:t>3.培训地址；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5.临时停止活动信息。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 江西省人民政府办公厅关于推进社会公益事业建设领域政府信息公开的实施意见（赣府厅发〔2018〕22号）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3.《乡镇综合文化站管理办法》(中华人民共和国文化部令第48号)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45</w:t>
            </w:r>
          </w:p>
        </w:tc>
        <w:tc>
          <w:tcPr>
            <w:tcW w:w="255" w:type="pct"/>
            <w:vMerge w:val="continue"/>
            <w:noWrap w:val="0"/>
            <w:vAlign w:val="center"/>
          </w:tcPr>
          <w:p>
            <w:pPr>
              <w:spacing w:line="240" w:lineRule="exact"/>
              <w:rPr>
                <w:rFonts w:hint="eastAsia" w:ascii="宋体" w:hAnsi="宋体" w:cs="宋体"/>
                <w:color w:val="000000"/>
                <w:sz w:val="20"/>
                <w:szCs w:val="20"/>
              </w:rPr>
            </w:pP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非物质文化遗产展示传播活动</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1.活动时间；</w:t>
            </w:r>
            <w:r>
              <w:rPr>
                <w:rFonts w:hint="eastAsia" w:ascii="宋体" w:hAnsi="宋体" w:cs="宋体"/>
                <w:color w:val="000000"/>
                <w:sz w:val="20"/>
                <w:szCs w:val="20"/>
              </w:rPr>
              <w:br w:type="textWrapping"/>
            </w:r>
            <w:r>
              <w:rPr>
                <w:rFonts w:hint="eastAsia" w:ascii="宋体" w:hAnsi="宋体" w:cs="宋体"/>
                <w:color w:val="000000"/>
                <w:sz w:val="20"/>
                <w:szCs w:val="20"/>
              </w:rPr>
              <w:t>2.组织单位；</w:t>
            </w:r>
            <w:r>
              <w:rPr>
                <w:rFonts w:hint="eastAsia" w:ascii="宋体" w:hAnsi="宋体" w:cs="宋体"/>
                <w:color w:val="000000"/>
                <w:sz w:val="20"/>
                <w:szCs w:val="20"/>
              </w:rPr>
              <w:br w:type="textWrapping"/>
            </w:r>
            <w:r>
              <w:rPr>
                <w:rFonts w:hint="eastAsia" w:ascii="宋体" w:hAnsi="宋体" w:cs="宋体"/>
                <w:color w:val="000000"/>
                <w:sz w:val="20"/>
                <w:szCs w:val="20"/>
              </w:rPr>
              <w:t>3.活动地址；</w:t>
            </w:r>
            <w:r>
              <w:rPr>
                <w:rFonts w:hint="eastAsia" w:ascii="宋体" w:hAnsi="宋体" w:cs="宋体"/>
                <w:color w:val="000000"/>
                <w:sz w:val="20"/>
                <w:szCs w:val="20"/>
              </w:rPr>
              <w:br w:type="textWrapping"/>
            </w:r>
            <w:r>
              <w:rPr>
                <w:rFonts w:hint="eastAsia" w:ascii="宋体" w:hAnsi="宋体" w:cs="宋体"/>
                <w:color w:val="000000"/>
                <w:sz w:val="20"/>
                <w:szCs w:val="20"/>
              </w:rPr>
              <w:t>4.联系电话；</w:t>
            </w:r>
            <w:r>
              <w:rPr>
                <w:rFonts w:hint="eastAsia" w:ascii="宋体" w:hAnsi="宋体" w:cs="宋体"/>
                <w:color w:val="000000"/>
                <w:sz w:val="20"/>
                <w:szCs w:val="20"/>
              </w:rPr>
              <w:br w:type="textWrapping"/>
            </w:r>
            <w:r>
              <w:rPr>
                <w:rFonts w:hint="eastAsia" w:ascii="宋体" w:hAnsi="宋体" w:cs="宋体"/>
                <w:color w:val="000000"/>
                <w:sz w:val="20"/>
                <w:szCs w:val="20"/>
              </w:rPr>
              <w:t>5.临时停止活动信息。</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1.《非物质文化遗产法》</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 xml:space="preserve">2.《中华人民共和国政府信息公开条例》（国务院令第711号）  </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3. 江西省人民政府办公厅关于推进社会公益事业建设领域政府信息公开的实施意见（赣府厅发〔2018〕22号）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市文广新旅局、县（市、区）文化和旅游局，县级相关公共文化服务机构，乡镇人民政府（街道办事处）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6" w:hRule="atLeast"/>
          <w:jc w:val="center"/>
        </w:trPr>
        <w:tc>
          <w:tcPr>
            <w:tcW w:w="186"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46</w:t>
            </w:r>
          </w:p>
        </w:tc>
        <w:tc>
          <w:tcPr>
            <w:tcW w:w="25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公共</w:t>
            </w:r>
            <w:r>
              <w:rPr>
                <w:rFonts w:hint="eastAsia" w:ascii="宋体" w:hAnsi="宋体" w:cs="宋体"/>
                <w:color w:val="000000"/>
                <w:sz w:val="20"/>
                <w:szCs w:val="20"/>
              </w:rPr>
              <w:br w:type="textWrapping"/>
            </w:r>
            <w:r>
              <w:rPr>
                <w:rFonts w:hint="eastAsia" w:ascii="宋体" w:hAnsi="宋体" w:cs="宋体"/>
                <w:color w:val="000000"/>
                <w:sz w:val="20"/>
                <w:szCs w:val="20"/>
              </w:rPr>
              <w:t>服务</w:t>
            </w:r>
          </w:p>
        </w:tc>
        <w:tc>
          <w:tcPr>
            <w:tcW w:w="535"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文博单位名录</w:t>
            </w:r>
          </w:p>
        </w:tc>
        <w:tc>
          <w:tcPr>
            <w:tcW w:w="659"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文物保护管理机构和博物馆名录</w:t>
            </w:r>
          </w:p>
        </w:tc>
        <w:tc>
          <w:tcPr>
            <w:tcW w:w="694" w:type="pct"/>
            <w:noWrap w:val="0"/>
            <w:vAlign w:val="center"/>
          </w:tcPr>
          <w:p>
            <w:pPr>
              <w:spacing w:line="240" w:lineRule="exac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spacing w:line="240" w:lineRule="exact"/>
              <w:rPr>
                <w:rFonts w:hint="eastAsia" w:ascii="宋体" w:hAnsi="宋体" w:cs="宋体"/>
                <w:color w:val="000000"/>
                <w:sz w:val="20"/>
                <w:szCs w:val="20"/>
              </w:rPr>
            </w:pPr>
            <w:r>
              <w:rPr>
                <w:rFonts w:hint="eastAsia" w:ascii="宋体" w:hAnsi="宋体" w:cs="宋体"/>
                <w:color w:val="000000"/>
                <w:sz w:val="20"/>
                <w:szCs w:val="20"/>
              </w:rPr>
              <w:t>2. 江西省人民政府办公厅关于推进社会公益事业建设领域政府信息公开的实施意见（赣府厅发〔2018〕22号）</w:t>
            </w:r>
          </w:p>
        </w:tc>
        <w:tc>
          <w:tcPr>
            <w:tcW w:w="594"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自信息形成或变更之日起1</w:t>
            </w:r>
            <w:r>
              <w:rPr>
                <w:rFonts w:hint="eastAsia" w:ascii="宋体" w:hAnsi="宋体" w:cs="宋体"/>
                <w:color w:val="000000"/>
                <w:sz w:val="20"/>
                <w:szCs w:val="20"/>
                <w:lang w:val="en-US" w:eastAsia="zh-CN"/>
              </w:rPr>
              <w:t>0</w:t>
            </w:r>
            <w:r>
              <w:rPr>
                <w:rFonts w:hint="eastAsia" w:ascii="宋体" w:hAnsi="宋体" w:cs="宋体"/>
                <w:color w:val="000000"/>
                <w:sz w:val="20"/>
                <w:szCs w:val="20"/>
              </w:rPr>
              <w:t>个工作日内公开</w:t>
            </w:r>
          </w:p>
        </w:tc>
        <w:tc>
          <w:tcPr>
            <w:tcW w:w="503" w:type="pct"/>
            <w:noWrap w:val="0"/>
            <w:vAlign w:val="center"/>
          </w:tcPr>
          <w:p>
            <w:pPr>
              <w:spacing w:line="240" w:lineRule="exact"/>
              <w:jc w:val="center"/>
              <w:rPr>
                <w:rFonts w:hint="eastAsia" w:ascii="宋体" w:hAnsi="宋体" w:cs="宋体"/>
                <w:color w:val="000000"/>
                <w:sz w:val="20"/>
                <w:szCs w:val="20"/>
              </w:rPr>
            </w:pPr>
            <w:r>
              <w:rPr>
                <w:rFonts w:hint="eastAsia" w:ascii="宋体" w:hAnsi="宋体" w:cs="宋体"/>
                <w:color w:val="000000"/>
                <w:sz w:val="20"/>
                <w:szCs w:val="20"/>
              </w:rPr>
              <w:t>市文广新旅局、县（市、区）文化和旅游局、乡镇人民政府（街道办事处）</w:t>
            </w:r>
          </w:p>
        </w:tc>
        <w:tc>
          <w:tcPr>
            <w:tcW w:w="1288" w:type="pct"/>
            <w:noWrap w:val="0"/>
            <w:vAlign w:val="center"/>
          </w:tcPr>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■政府网站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 xml:space="preserve">便民服务站 </w:t>
            </w:r>
            <w:r>
              <w:rPr>
                <w:rFonts w:hint="eastAsia" w:asciiTheme="minorEastAsia" w:hAnsiTheme="minorEastAsia" w:eastAsiaTheme="minorEastAsia" w:cstheme="minorEastAsia"/>
                <w:sz w:val="20"/>
                <w:szCs w:val="20"/>
                <w:lang w:val="en-US" w:eastAsia="zh-CN"/>
              </w:rPr>
              <w:t xml:space="preserve">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sym w:font="Wingdings 2" w:char="00A3"/>
            </w:r>
            <w:r>
              <w:rPr>
                <w:rFonts w:hint="eastAsia" w:asciiTheme="minorEastAsia" w:hAnsiTheme="minorEastAsia" w:eastAsiaTheme="minorEastAsia" w:cstheme="minorEastAsia"/>
                <w:sz w:val="20"/>
                <w:szCs w:val="20"/>
              </w:rPr>
              <w:t>社区/企</w:t>
            </w:r>
            <w:r>
              <w:rPr>
                <w:rFonts w:hint="eastAsia" w:asciiTheme="minorEastAsia" w:hAnsiTheme="minorEastAsia" w:eastAsiaTheme="minorEastAsia" w:cstheme="minorEastAsia"/>
                <w:sz w:val="20"/>
                <w:szCs w:val="20"/>
                <w:lang w:eastAsia="zh-CN"/>
              </w:rPr>
              <w:t>事</w:t>
            </w:r>
            <w:r>
              <w:rPr>
                <w:rFonts w:hint="eastAsia" w:asciiTheme="minorEastAsia" w:hAnsiTheme="minorEastAsia" w:eastAsiaTheme="minorEastAsia" w:cstheme="minorEastAsia"/>
                <w:sz w:val="20"/>
                <w:szCs w:val="20"/>
              </w:rPr>
              <w:t>业单位/村公示</w:t>
            </w:r>
            <w:r>
              <w:rPr>
                <w:rFonts w:hint="eastAsia" w:asciiTheme="minorEastAsia" w:hAnsiTheme="minorEastAsia" w:eastAsiaTheme="minorEastAsia" w:cstheme="minorEastAsia"/>
                <w:sz w:val="20"/>
                <w:szCs w:val="20"/>
                <w:lang w:eastAsia="zh-CN"/>
              </w:rPr>
              <w:t>栏</w:t>
            </w:r>
            <w:r>
              <w:rPr>
                <w:rFonts w:hint="eastAsia" w:asciiTheme="minorEastAsia" w:hAnsiTheme="minorEastAsia" w:eastAsiaTheme="minorEastAsia" w:cstheme="minorEastAsia"/>
                <w:sz w:val="20"/>
                <w:szCs w:val="20"/>
              </w:rPr>
              <w:t xml:space="preserve">(电子屏) </w:t>
            </w:r>
          </w:p>
          <w:p>
            <w:pPr>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 xml:space="preserve">      </w:t>
            </w:r>
            <w:r>
              <w:rPr>
                <w:rFonts w:hint="eastAsia" w:asciiTheme="minorEastAsia" w:hAnsiTheme="minorEastAsia" w:eastAsiaTheme="minorEastAsia" w:cstheme="minorEastAsia"/>
                <w:sz w:val="20"/>
                <w:szCs w:val="20"/>
              </w:rPr>
              <w:t>■其他</w:t>
            </w:r>
          </w:p>
          <w:p>
            <w:pPr>
              <w:spacing w:line="240" w:lineRule="exact"/>
              <w:rPr>
                <w:rFonts w:hint="eastAsia" w:ascii="宋体" w:hAnsi="宋体" w:cs="宋体"/>
                <w:color w:val="000000"/>
                <w:sz w:val="20"/>
                <w:szCs w:val="20"/>
              </w:rPr>
            </w:pPr>
          </w:p>
        </w:tc>
        <w:tc>
          <w:tcPr>
            <w:tcW w:w="129" w:type="pct"/>
            <w:noWrap w:val="0"/>
            <w:vAlign w:val="center"/>
          </w:tcPr>
          <w:p>
            <w:pPr>
              <w:spacing w:line="240" w:lineRule="exact"/>
              <w:rPr>
                <w:rFonts w:hint="default" w:ascii="宋体" w:hAnsi="宋体" w:eastAsia="宋体" w:cs="宋体"/>
                <w:color w:val="000000"/>
                <w:sz w:val="20"/>
                <w:szCs w:val="20"/>
                <w:lang w:val="en-US" w:eastAsia="zh-CN"/>
              </w:rPr>
            </w:pPr>
            <w:r>
              <w:rPr>
                <w:rFonts w:hint="eastAsia" w:ascii="宋体" w:hAnsi="宋体" w:cs="宋体"/>
                <w:color w:val="000000"/>
                <w:sz w:val="20"/>
                <w:szCs w:val="20"/>
                <w:lang w:val="en-US" w:eastAsia="zh-CN"/>
              </w:rPr>
              <w:t>全社会</w:t>
            </w:r>
          </w:p>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rPr>
              <w:t>　</w:t>
            </w:r>
          </w:p>
        </w:tc>
        <w:tc>
          <w:tcPr>
            <w:tcW w:w="152" w:type="pct"/>
            <w:noWrap w:val="0"/>
            <w:vAlign w:val="center"/>
          </w:tcPr>
          <w:p>
            <w:pPr>
              <w:spacing w:line="240" w:lineRule="exact"/>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val="en-US" w:eastAsia="zh-CN"/>
              </w:rPr>
              <w:t>主动公开</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dit="form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92815"/>
    <w:rsid w:val="03A85A55"/>
    <w:rsid w:val="0B353517"/>
    <w:rsid w:val="168B7CC4"/>
    <w:rsid w:val="194E2378"/>
    <w:rsid w:val="1C8147CC"/>
    <w:rsid w:val="1D8D3B7F"/>
    <w:rsid w:val="1F3134D9"/>
    <w:rsid w:val="2B8A12EA"/>
    <w:rsid w:val="31D37177"/>
    <w:rsid w:val="3538246D"/>
    <w:rsid w:val="3914724D"/>
    <w:rsid w:val="3922078C"/>
    <w:rsid w:val="3F0E705E"/>
    <w:rsid w:val="472C4A49"/>
    <w:rsid w:val="4E5D0803"/>
    <w:rsid w:val="52343774"/>
    <w:rsid w:val="55063E6A"/>
    <w:rsid w:val="56A52634"/>
    <w:rsid w:val="60E26AAE"/>
    <w:rsid w:val="637B5F37"/>
    <w:rsid w:val="6DA00AD4"/>
    <w:rsid w:val="6EF07A49"/>
    <w:rsid w:val="73A45B36"/>
    <w:rsid w:val="7857203E"/>
    <w:rsid w:val="799740C9"/>
    <w:rsid w:val="7B0254C0"/>
    <w:rsid w:val="7B0650EF"/>
    <w:rsid w:val="7F2B2B7C"/>
    <w:rsid w:val="7FB92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2021-11-25T13:27:00Z</dcterms:created>
  <dc:creator>盘谷</dc:creator>
  <cp:lastModifiedBy>Administrator</cp:lastModifiedBy>
  <cp:lastPrinted>2021-11-29T03:32:00Z</cp:lastPrinted>
  <dcterms:modified xsi:type="dcterms:W3CDTF">2021-12-22T05:34:34Z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1BD4F458C4464EF6BFC57E541BFD6CC1</vt:lpwstr>
  </property>
</Properties>
</file>