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楷体_GB2312" w:hAnsi="楷体_GB2312" w:eastAsia="楷体_GB2312" w:cs="楷体_GB2312"/>
          <w:color w:val="auto"/>
          <w:kern w:val="0"/>
          <w:sz w:val="32"/>
          <w:szCs w:val="32"/>
          <w:lang w:val="en-US"/>
        </w:rPr>
      </w:pPr>
      <w:r>
        <w:rPr>
          <w:rFonts w:hint="eastAsia" w:ascii="方正小标宋简体" w:hAnsi="方正小标宋简体" w:eastAsia="方正小标宋简体" w:cs="方正小标宋简体"/>
          <w:color w:val="auto"/>
          <w:kern w:val="0"/>
          <w:sz w:val="44"/>
          <w:szCs w:val="44"/>
          <w:lang w:val="en-US" w:eastAsia="zh-CN"/>
        </w:rPr>
        <w:t xml:space="preserve">   </w:t>
      </w:r>
      <w:r>
        <w:rPr>
          <w:rFonts w:hint="eastAsia" w:ascii="方正小标宋简体" w:hAnsi="方正小标宋简体" w:eastAsia="方正小标宋简体" w:cs="方正小标宋简体"/>
          <w:color w:val="auto"/>
          <w:kern w:val="0"/>
          <w:sz w:val="44"/>
          <w:szCs w:val="44"/>
          <w:lang w:eastAsia="zh-CN"/>
        </w:rPr>
        <w:t>吉安市公共法律服务领域基层政务公开标准目录</w:t>
      </w:r>
    </w:p>
    <w:tbl>
      <w:tblPr>
        <w:tblStyle w:val="4"/>
        <w:tblW w:w="143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08"/>
        <w:gridCol w:w="1200"/>
        <w:gridCol w:w="1461"/>
        <w:gridCol w:w="2948"/>
        <w:gridCol w:w="1291"/>
        <w:gridCol w:w="1004"/>
        <w:gridCol w:w="2596"/>
        <w:gridCol w:w="1112"/>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pPr>
              <w:widowControl/>
              <w:jc w:val="center"/>
              <w:rPr>
                <w:rFonts w:ascii="Times New Roman" w:hAnsi="Times New Roman"/>
                <w:color w:val="auto"/>
                <w:kern w:val="0"/>
                <w:sz w:val="22"/>
              </w:rPr>
            </w:pPr>
          </w:p>
          <w:p>
            <w:pPr>
              <w:widowControl/>
              <w:jc w:val="center"/>
              <w:rPr>
                <w:rFonts w:ascii="Times New Roman" w:hAnsi="Times New Roman"/>
                <w:color w:val="auto"/>
                <w:kern w:val="0"/>
                <w:sz w:val="22"/>
              </w:rPr>
            </w:pPr>
          </w:p>
        </w:tc>
        <w:tc>
          <w:tcPr>
            <w:tcW w:w="2308" w:type="dxa"/>
            <w:gridSpan w:val="2"/>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公开事项</w:t>
            </w:r>
          </w:p>
        </w:tc>
        <w:tc>
          <w:tcPr>
            <w:tcW w:w="1461" w:type="dxa"/>
            <w:vMerge w:val="restart"/>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公开内容（要素）</w:t>
            </w:r>
          </w:p>
        </w:tc>
        <w:tc>
          <w:tcPr>
            <w:tcW w:w="2948" w:type="dxa"/>
            <w:vMerge w:val="restart"/>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公开依据</w:t>
            </w:r>
          </w:p>
        </w:tc>
        <w:tc>
          <w:tcPr>
            <w:tcW w:w="1291" w:type="dxa"/>
            <w:vMerge w:val="restart"/>
            <w:noWrap w:val="0"/>
            <w:vAlign w:val="center"/>
          </w:tcPr>
          <w:p>
            <w:pPr>
              <w:widowControl/>
              <w:jc w:val="center"/>
              <w:rPr>
                <w:rFonts w:hint="eastAsia" w:ascii="黑体" w:hAnsi="宋体" w:eastAsia="黑体" w:cs="宋体"/>
                <w:color w:val="auto"/>
                <w:kern w:val="0"/>
                <w:sz w:val="22"/>
              </w:rPr>
            </w:pPr>
            <w:r>
              <w:rPr>
                <w:rFonts w:hint="eastAsia" w:ascii="黑体" w:hAnsi="宋体" w:eastAsia="黑体" w:cs="宋体"/>
                <w:color w:val="auto"/>
                <w:kern w:val="0"/>
                <w:sz w:val="22"/>
              </w:rPr>
              <w:t>公开</w:t>
            </w:r>
          </w:p>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时限</w:t>
            </w:r>
          </w:p>
        </w:tc>
        <w:tc>
          <w:tcPr>
            <w:tcW w:w="1004" w:type="dxa"/>
            <w:vMerge w:val="restart"/>
            <w:noWrap w:val="0"/>
            <w:vAlign w:val="center"/>
          </w:tcPr>
          <w:p>
            <w:pPr>
              <w:widowControl/>
              <w:jc w:val="center"/>
              <w:rPr>
                <w:rFonts w:hint="eastAsia" w:ascii="黑体" w:hAnsi="宋体" w:eastAsia="黑体" w:cs="宋体"/>
                <w:color w:val="auto"/>
                <w:kern w:val="0"/>
                <w:sz w:val="22"/>
              </w:rPr>
            </w:pPr>
            <w:r>
              <w:rPr>
                <w:rFonts w:hint="eastAsia" w:ascii="黑体" w:hAnsi="宋体" w:eastAsia="黑体" w:cs="宋体"/>
                <w:color w:val="auto"/>
                <w:kern w:val="0"/>
                <w:sz w:val="22"/>
              </w:rPr>
              <w:t>公开</w:t>
            </w:r>
          </w:p>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主体</w:t>
            </w:r>
          </w:p>
        </w:tc>
        <w:tc>
          <w:tcPr>
            <w:tcW w:w="2596" w:type="dxa"/>
            <w:vMerge w:val="restart"/>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公开渠道和载体</w:t>
            </w:r>
          </w:p>
        </w:tc>
        <w:tc>
          <w:tcPr>
            <w:tcW w:w="1112" w:type="dxa"/>
            <w:vMerge w:val="restart"/>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公开对象</w:t>
            </w:r>
          </w:p>
        </w:tc>
        <w:tc>
          <w:tcPr>
            <w:tcW w:w="1126" w:type="dxa"/>
            <w:vMerge w:val="restart"/>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pPr>
              <w:widowControl/>
              <w:jc w:val="center"/>
              <w:rPr>
                <w:rFonts w:ascii="Times New Roman" w:hAnsi="Times New Roman"/>
                <w:color w:val="auto"/>
                <w:kern w:val="0"/>
                <w:sz w:val="22"/>
              </w:rPr>
            </w:pPr>
          </w:p>
        </w:tc>
        <w:tc>
          <w:tcPr>
            <w:tcW w:w="1108" w:type="dxa"/>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一级事项</w:t>
            </w:r>
          </w:p>
        </w:tc>
        <w:tc>
          <w:tcPr>
            <w:tcW w:w="1200" w:type="dxa"/>
            <w:noWrap w:val="0"/>
            <w:vAlign w:val="center"/>
          </w:tcPr>
          <w:p>
            <w:pPr>
              <w:widowControl/>
              <w:jc w:val="center"/>
              <w:rPr>
                <w:rFonts w:ascii="黑体" w:hAnsi="宋体" w:eastAsia="黑体" w:cs="宋体"/>
                <w:color w:val="auto"/>
                <w:kern w:val="0"/>
                <w:sz w:val="22"/>
              </w:rPr>
            </w:pPr>
            <w:r>
              <w:rPr>
                <w:rFonts w:hint="eastAsia" w:ascii="黑体" w:hAnsi="宋体" w:eastAsia="黑体" w:cs="宋体"/>
                <w:color w:val="auto"/>
                <w:kern w:val="0"/>
                <w:sz w:val="22"/>
              </w:rPr>
              <w:t>二级事项</w:t>
            </w:r>
          </w:p>
        </w:tc>
        <w:tc>
          <w:tcPr>
            <w:tcW w:w="1461" w:type="dxa"/>
            <w:vMerge w:val="continue"/>
            <w:noWrap w:val="0"/>
            <w:vAlign w:val="center"/>
          </w:tcPr>
          <w:p>
            <w:pPr>
              <w:widowControl/>
              <w:jc w:val="center"/>
              <w:rPr>
                <w:rFonts w:ascii="黑体" w:hAnsi="宋体" w:eastAsia="黑体" w:cs="宋体"/>
                <w:color w:val="auto"/>
                <w:kern w:val="0"/>
                <w:sz w:val="22"/>
              </w:rPr>
            </w:pPr>
          </w:p>
        </w:tc>
        <w:tc>
          <w:tcPr>
            <w:tcW w:w="2948" w:type="dxa"/>
            <w:vMerge w:val="continue"/>
            <w:noWrap w:val="0"/>
            <w:vAlign w:val="center"/>
          </w:tcPr>
          <w:p>
            <w:pPr>
              <w:widowControl/>
              <w:jc w:val="center"/>
              <w:rPr>
                <w:rFonts w:ascii="黑体" w:hAnsi="宋体" w:eastAsia="黑体" w:cs="宋体"/>
                <w:color w:val="auto"/>
                <w:kern w:val="0"/>
                <w:sz w:val="22"/>
              </w:rPr>
            </w:pPr>
          </w:p>
        </w:tc>
        <w:tc>
          <w:tcPr>
            <w:tcW w:w="1291" w:type="dxa"/>
            <w:vMerge w:val="continue"/>
            <w:noWrap w:val="0"/>
            <w:vAlign w:val="center"/>
          </w:tcPr>
          <w:p>
            <w:pPr>
              <w:widowControl/>
              <w:jc w:val="center"/>
              <w:rPr>
                <w:rFonts w:ascii="黑体" w:hAnsi="宋体" w:eastAsia="黑体" w:cs="宋体"/>
                <w:color w:val="auto"/>
                <w:kern w:val="0"/>
                <w:sz w:val="22"/>
              </w:rPr>
            </w:pPr>
          </w:p>
        </w:tc>
        <w:tc>
          <w:tcPr>
            <w:tcW w:w="1004" w:type="dxa"/>
            <w:vMerge w:val="continue"/>
            <w:noWrap w:val="0"/>
            <w:vAlign w:val="center"/>
          </w:tcPr>
          <w:p>
            <w:pPr>
              <w:widowControl/>
              <w:jc w:val="center"/>
              <w:rPr>
                <w:rFonts w:ascii="黑体" w:hAnsi="宋体" w:eastAsia="黑体" w:cs="宋体"/>
                <w:color w:val="auto"/>
                <w:kern w:val="0"/>
                <w:sz w:val="22"/>
              </w:rPr>
            </w:pPr>
          </w:p>
        </w:tc>
        <w:tc>
          <w:tcPr>
            <w:tcW w:w="2596" w:type="dxa"/>
            <w:vMerge w:val="continue"/>
            <w:noWrap w:val="0"/>
            <w:vAlign w:val="center"/>
          </w:tcPr>
          <w:p>
            <w:pPr>
              <w:widowControl/>
              <w:jc w:val="center"/>
              <w:rPr>
                <w:rFonts w:ascii="黑体" w:hAnsi="宋体" w:eastAsia="黑体" w:cs="宋体"/>
                <w:color w:val="auto"/>
                <w:kern w:val="0"/>
                <w:sz w:val="22"/>
              </w:rPr>
            </w:pPr>
          </w:p>
        </w:tc>
        <w:tc>
          <w:tcPr>
            <w:tcW w:w="1112" w:type="dxa"/>
            <w:vMerge w:val="continue"/>
            <w:tcBorders/>
            <w:noWrap w:val="0"/>
            <w:vAlign w:val="center"/>
          </w:tcPr>
          <w:p>
            <w:pPr>
              <w:widowControl/>
              <w:jc w:val="center"/>
              <w:rPr>
                <w:rFonts w:ascii="黑体" w:hAnsi="宋体" w:eastAsia="黑体" w:cs="宋体"/>
                <w:color w:val="auto"/>
                <w:kern w:val="0"/>
                <w:sz w:val="22"/>
              </w:rPr>
            </w:pPr>
          </w:p>
        </w:tc>
        <w:tc>
          <w:tcPr>
            <w:tcW w:w="1126" w:type="dxa"/>
            <w:vMerge w:val="continue"/>
            <w:tcBorders/>
            <w:noWrap w:val="0"/>
            <w:vAlign w:val="center"/>
          </w:tcPr>
          <w:p>
            <w:pPr>
              <w:widowControl/>
              <w:jc w:val="center"/>
              <w:rPr>
                <w:rFonts w:ascii="黑体" w:hAnsi="宋体" w:eastAsia="黑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7" w:hRule="atLeast"/>
          <w:jc w:val="center"/>
        </w:trPr>
        <w:tc>
          <w:tcPr>
            <w:tcW w:w="54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val="en-US" w:eastAsia="zh-CN"/>
              </w:rPr>
              <w:t>1</w:t>
            </w:r>
          </w:p>
        </w:tc>
        <w:tc>
          <w:tcPr>
            <w:tcW w:w="110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法律</w:t>
            </w:r>
          </w:p>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咨询</w:t>
            </w:r>
          </w:p>
          <w:p>
            <w:pPr>
              <w:jc w:val="center"/>
              <w:rPr>
                <w:rFonts w:ascii="仿宋_GB2312" w:hAnsi="宋体" w:eastAsia="仿宋_GB2312"/>
                <w:color w:val="auto"/>
                <w:sz w:val="18"/>
                <w:szCs w:val="18"/>
              </w:rPr>
            </w:pPr>
            <w:r>
              <w:rPr>
                <w:rFonts w:hint="eastAsia" w:ascii="仿宋_GB2312" w:hAnsi="宋体" w:eastAsia="仿宋_GB2312"/>
                <w:color w:val="auto"/>
                <w:sz w:val="18"/>
                <w:szCs w:val="18"/>
              </w:rPr>
              <w:t>服务</w:t>
            </w:r>
          </w:p>
        </w:tc>
        <w:tc>
          <w:tcPr>
            <w:tcW w:w="1200" w:type="dxa"/>
            <w:noWrap w:val="0"/>
            <w:vAlign w:val="center"/>
          </w:tcPr>
          <w:p>
            <w:pPr>
              <w:widowControl/>
              <w:jc w:val="center"/>
              <w:textAlignment w:val="center"/>
              <w:rPr>
                <w:rFonts w:ascii="仿宋_GB2312" w:hAnsi="宋体" w:eastAsia="仿宋_GB2312"/>
                <w:color w:val="auto"/>
                <w:sz w:val="18"/>
                <w:szCs w:val="18"/>
              </w:rPr>
            </w:pPr>
            <w:r>
              <w:rPr>
                <w:rFonts w:hint="eastAsia" w:ascii="仿宋_GB2312" w:hAnsi="宋体" w:eastAsia="仿宋_GB2312"/>
                <w:color w:val="auto"/>
                <w:sz w:val="18"/>
                <w:szCs w:val="18"/>
              </w:rPr>
              <w:t>公共法律服务实体平台、热线平台、网络平台咨询服务</w:t>
            </w:r>
          </w:p>
        </w:tc>
        <w:tc>
          <w:tcPr>
            <w:tcW w:w="1461" w:type="dxa"/>
            <w:noWrap w:val="0"/>
            <w:vAlign w:val="center"/>
          </w:tcPr>
          <w:p>
            <w:pPr>
              <w:tabs>
                <w:tab w:val="center" w:pos="4153"/>
                <w:tab w:val="right" w:pos="8306"/>
              </w:tabs>
              <w:snapToGrid w:val="0"/>
              <w:spacing w:line="360" w:lineRule="auto"/>
              <w:jc w:val="center"/>
              <w:rPr>
                <w:rFonts w:ascii="仿宋_GB2312" w:hAnsi="宋体" w:eastAsia="仿宋_GB2312"/>
                <w:color w:val="auto"/>
                <w:sz w:val="18"/>
                <w:szCs w:val="18"/>
              </w:rPr>
            </w:pPr>
            <w:r>
              <w:rPr>
                <w:rFonts w:hint="eastAsia" w:ascii="仿宋_GB2312" w:hAnsi="宋体" w:eastAsia="仿宋_GB2312"/>
                <w:color w:val="auto"/>
                <w:sz w:val="18"/>
                <w:szCs w:val="18"/>
              </w:rPr>
              <w:t>公共法律服务实体、热线、网络平台法律咨询服务指南</w:t>
            </w:r>
          </w:p>
        </w:tc>
        <w:tc>
          <w:tcPr>
            <w:tcW w:w="2948"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），《中共吉安市委全面依法治市委员会印发</w:t>
            </w:r>
            <w:r>
              <w:rPr>
                <w:rFonts w:hint="eastAsia" w:ascii="仿宋_GB2312" w:hAnsi="仿宋_GB2312" w:eastAsia="仿宋_GB2312" w:cs="仿宋_GB2312"/>
                <w:color w:val="auto"/>
                <w:sz w:val="18"/>
                <w:szCs w:val="18"/>
                <w:lang w:eastAsia="zh-CN"/>
              </w:rPr>
              <w:t>〈</w:t>
            </w:r>
            <w:r>
              <w:rPr>
                <w:rFonts w:hint="eastAsia" w:ascii="仿宋_GB2312" w:hAnsi="宋体" w:eastAsia="仿宋_GB2312"/>
                <w:color w:val="auto"/>
                <w:sz w:val="18"/>
                <w:szCs w:val="18"/>
                <w:lang w:eastAsia="zh-CN"/>
              </w:rPr>
              <w:t>关于加快推进公共法律服务体系建设的实施意见</w:t>
            </w:r>
            <w:r>
              <w:rPr>
                <w:rFonts w:hint="eastAsia" w:ascii="仿宋_GB2312" w:hAnsi="仿宋_GB2312" w:eastAsia="仿宋_GB2312" w:cs="仿宋_GB2312"/>
                <w:color w:val="auto"/>
                <w:sz w:val="18"/>
                <w:szCs w:val="18"/>
                <w:lang w:eastAsia="zh-CN"/>
              </w:rPr>
              <w:t>〉的通知</w:t>
            </w:r>
            <w:r>
              <w:rPr>
                <w:rFonts w:hint="eastAsia" w:ascii="仿宋_GB2312" w:hAnsi="宋体" w:eastAsia="仿宋_GB2312"/>
                <w:color w:val="auto"/>
                <w:sz w:val="18"/>
                <w:szCs w:val="18"/>
                <w:lang w:eastAsia="zh-CN"/>
              </w:rPr>
              <w:t>》（吉法委发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2020</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4号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司法行政部门、公共法律服务中心</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工作站</w:t>
            </w:r>
            <w:r>
              <w:rPr>
                <w:rFonts w:hint="eastAsia" w:ascii="仿宋_GB2312" w:hAnsi="宋体" w:eastAsia="仿宋_GB2312"/>
                <w:color w:val="auto"/>
                <w:sz w:val="18"/>
                <w:szCs w:val="18"/>
                <w:lang w:eastAsia="zh-CN"/>
              </w:rPr>
              <w:t>）</w:t>
            </w:r>
          </w:p>
        </w:tc>
        <w:tc>
          <w:tcPr>
            <w:tcW w:w="2596" w:type="dxa"/>
            <w:noWrap w:val="0"/>
            <w:vAlign w:val="center"/>
          </w:tcPr>
          <w:p>
            <w:pPr>
              <w:widowControl/>
              <w:jc w:val="left"/>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（工作站）</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0" w:hRule="atLeast"/>
          <w:jc w:val="center"/>
        </w:trPr>
        <w:tc>
          <w:tcPr>
            <w:tcW w:w="540" w:type="dxa"/>
            <w:vMerge w:val="restart"/>
            <w:noWrap w:val="0"/>
            <w:vAlign w:val="center"/>
          </w:tcPr>
          <w:p>
            <w:pPr>
              <w:widowControl/>
              <w:jc w:val="center"/>
              <w:textAlignment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w:t>
            </w:r>
          </w:p>
        </w:tc>
        <w:tc>
          <w:tcPr>
            <w:tcW w:w="1108" w:type="dxa"/>
            <w:vMerge w:val="restart"/>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查询</w:t>
            </w:r>
          </w:p>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服务</w:t>
            </w:r>
            <w:bookmarkStart w:id="0" w:name="_GoBack"/>
            <w:bookmarkEnd w:id="0"/>
          </w:p>
        </w:tc>
        <w:tc>
          <w:tcPr>
            <w:tcW w:w="1200"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法律法规和案例检索服务</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rPr>
              <w:t>法律法规库网址或链接；典型案例库网址或链接</w:t>
            </w:r>
          </w:p>
        </w:tc>
        <w:tc>
          <w:tcPr>
            <w:tcW w:w="2948"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《吉安市“七五”普法规划》（吉发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2016</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13号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jc w:val="both"/>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widowControl/>
              <w:jc w:val="left"/>
              <w:textAlignment w:val="center"/>
              <w:rPr>
                <w:rFonts w:ascii="仿宋_GB2312" w:hAnsi="宋体" w:eastAsia="仿宋_GB2312"/>
                <w:color w:val="auto"/>
                <w:sz w:val="18"/>
                <w:szCs w:val="18"/>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公共法律服务中心</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2" w:hRule="atLeast"/>
          <w:jc w:val="center"/>
        </w:trPr>
        <w:tc>
          <w:tcPr>
            <w:tcW w:w="540" w:type="dxa"/>
            <w:vMerge w:val="continue"/>
            <w:noWrap w:val="0"/>
            <w:vAlign w:val="center"/>
          </w:tcPr>
          <w:p>
            <w:pPr>
              <w:widowControl/>
              <w:jc w:val="center"/>
              <w:textAlignment w:val="center"/>
              <w:rPr>
                <w:rFonts w:hint="eastAsia" w:ascii="仿宋_GB2312" w:hAnsi="宋体" w:eastAsia="仿宋_GB2312"/>
                <w:color w:val="auto"/>
                <w:sz w:val="18"/>
                <w:szCs w:val="18"/>
                <w:lang w:val="en-US" w:eastAsia="zh-CN"/>
              </w:rPr>
            </w:pP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法律服务机构、人员信息查询服务</w:t>
            </w:r>
          </w:p>
        </w:tc>
        <w:tc>
          <w:tcPr>
            <w:tcW w:w="1461" w:type="dxa"/>
            <w:noWrap w:val="0"/>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20" w:lineRule="exact"/>
              <w:jc w:val="center"/>
              <w:textAlignment w:val="auto"/>
              <w:rPr>
                <w:rFonts w:hint="eastAsia" w:ascii="仿宋_GB2312" w:hAnsi="宋体" w:eastAsia="仿宋_GB2312"/>
                <w:color w:val="auto"/>
                <w:sz w:val="18"/>
                <w:szCs w:val="18"/>
              </w:rPr>
            </w:pPr>
            <w:r>
              <w:rPr>
                <w:rFonts w:hint="eastAsia" w:ascii="仿宋_GB2312" w:hAnsi="宋体" w:eastAsia="仿宋_GB2312"/>
                <w:color w:val="auto"/>
                <w:sz w:val="18"/>
                <w:szCs w:val="18"/>
              </w:rPr>
              <w:t>辖区内的律师、公证、基层法律服务、司法鉴定、仲裁、人民调解</w:t>
            </w:r>
            <w:r>
              <w:rPr>
                <w:rFonts w:hint="eastAsia" w:ascii="仿宋_GB2312" w:hAnsi="宋体" w:eastAsia="仿宋_GB2312"/>
                <w:color w:val="auto"/>
                <w:sz w:val="18"/>
                <w:szCs w:val="18"/>
                <w:lang w:eastAsia="zh-CN"/>
              </w:rPr>
              <w:t>、法律援助</w:t>
            </w:r>
            <w:r>
              <w:rPr>
                <w:rFonts w:hint="eastAsia" w:ascii="仿宋_GB2312" w:hAnsi="宋体" w:eastAsia="仿宋_GB2312"/>
                <w:color w:val="auto"/>
                <w:sz w:val="18"/>
                <w:szCs w:val="18"/>
              </w:rPr>
              <w:t>等法律服务机构和人员有关基本信息、从业信息和信用信息等</w:t>
            </w:r>
          </w:p>
        </w:tc>
        <w:tc>
          <w:tcPr>
            <w:tcW w:w="294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），《中共吉安市委全面依法治市委员会印发</w:t>
            </w:r>
            <w:r>
              <w:rPr>
                <w:rFonts w:hint="eastAsia" w:ascii="仿宋_GB2312" w:hAnsi="仿宋_GB2312" w:eastAsia="仿宋_GB2312" w:cs="仿宋_GB2312"/>
                <w:color w:val="auto"/>
                <w:sz w:val="18"/>
                <w:szCs w:val="18"/>
                <w:lang w:eastAsia="zh-CN"/>
              </w:rPr>
              <w:t>〈</w:t>
            </w:r>
            <w:r>
              <w:rPr>
                <w:rFonts w:hint="eastAsia" w:ascii="仿宋_GB2312" w:hAnsi="宋体" w:eastAsia="仿宋_GB2312"/>
                <w:color w:val="auto"/>
                <w:sz w:val="18"/>
                <w:szCs w:val="18"/>
                <w:lang w:eastAsia="zh-CN"/>
              </w:rPr>
              <w:t>关于加快推进公共法律服务体系建设的实施意见</w:t>
            </w:r>
            <w:r>
              <w:rPr>
                <w:rFonts w:hint="eastAsia" w:ascii="仿宋_GB2312" w:hAnsi="仿宋_GB2312" w:eastAsia="仿宋_GB2312" w:cs="仿宋_GB2312"/>
                <w:color w:val="auto"/>
                <w:sz w:val="18"/>
                <w:szCs w:val="18"/>
                <w:lang w:eastAsia="zh-CN"/>
              </w:rPr>
              <w:t>〉的通知</w:t>
            </w:r>
            <w:r>
              <w:rPr>
                <w:rFonts w:hint="eastAsia" w:ascii="仿宋_GB2312" w:hAnsi="宋体" w:eastAsia="仿宋_GB2312"/>
                <w:color w:val="auto"/>
                <w:sz w:val="18"/>
                <w:szCs w:val="18"/>
                <w:lang w:eastAsia="zh-CN"/>
              </w:rPr>
              <w:t>》（吉法委发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2020</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4号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（工作站）</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2"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4</w:t>
            </w:r>
          </w:p>
        </w:tc>
        <w:tc>
          <w:tcPr>
            <w:tcW w:w="1108" w:type="dxa"/>
            <w:noWrap w:val="0"/>
            <w:vAlign w:val="center"/>
          </w:tcPr>
          <w:p>
            <w:pPr>
              <w:jc w:val="center"/>
              <w:rPr>
                <w:rFonts w:hint="eastAsia" w:ascii="仿宋_GB2312" w:hAnsi="宋体" w:eastAsia="仿宋_GB2312"/>
                <w:color w:val="auto"/>
                <w:sz w:val="18"/>
                <w:szCs w:val="18"/>
              </w:rPr>
            </w:pPr>
          </w:p>
        </w:tc>
        <w:tc>
          <w:tcPr>
            <w:tcW w:w="1200"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公共法律服务实体、热线、网络平台信息</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1.</w:t>
            </w: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工作站</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具体地址；</w:t>
            </w:r>
          </w:p>
          <w:p>
            <w:pPr>
              <w:tabs>
                <w:tab w:val="center" w:pos="4153"/>
                <w:tab w:val="right" w:pos="8306"/>
              </w:tabs>
              <w:snapToGrid w:val="0"/>
              <w:spacing w:line="360" w:lineRule="auto"/>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2.</w:t>
            </w:r>
            <w:r>
              <w:rPr>
                <w:rFonts w:hint="eastAsia" w:ascii="仿宋_GB2312" w:hAnsi="宋体" w:eastAsia="仿宋_GB2312"/>
                <w:color w:val="auto"/>
                <w:sz w:val="18"/>
                <w:szCs w:val="18"/>
              </w:rPr>
              <w:t>12348公共法律服务热线号码</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江西法律服务网网址；</w:t>
            </w:r>
          </w:p>
          <w:p>
            <w:pPr>
              <w:tabs>
                <w:tab w:val="center" w:pos="4153"/>
                <w:tab w:val="right" w:pos="8306"/>
              </w:tabs>
              <w:snapToGrid w:val="0"/>
              <w:spacing w:line="360" w:lineRule="auto"/>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3.</w:t>
            </w:r>
            <w:r>
              <w:rPr>
                <w:rFonts w:hint="eastAsia" w:ascii="仿宋_GB2312" w:hAnsi="宋体" w:eastAsia="仿宋_GB2312"/>
                <w:color w:val="auto"/>
                <w:sz w:val="18"/>
                <w:szCs w:val="18"/>
              </w:rPr>
              <w:t>三大平台提供的公共法律服务事项清单及服务指南</w:t>
            </w:r>
          </w:p>
        </w:tc>
        <w:tc>
          <w:tcPr>
            <w:tcW w:w="2948"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），《中共吉安市委全面依法治市委员会印发</w:t>
            </w:r>
            <w:r>
              <w:rPr>
                <w:rFonts w:hint="eastAsia" w:ascii="仿宋_GB2312" w:hAnsi="仿宋_GB2312" w:eastAsia="仿宋_GB2312" w:cs="仿宋_GB2312"/>
                <w:color w:val="auto"/>
                <w:sz w:val="18"/>
                <w:szCs w:val="18"/>
                <w:lang w:eastAsia="zh-CN"/>
              </w:rPr>
              <w:t>〈</w:t>
            </w:r>
            <w:r>
              <w:rPr>
                <w:rFonts w:hint="eastAsia" w:ascii="仿宋_GB2312" w:hAnsi="宋体" w:eastAsia="仿宋_GB2312"/>
                <w:color w:val="auto"/>
                <w:sz w:val="18"/>
                <w:szCs w:val="18"/>
                <w:lang w:eastAsia="zh-CN"/>
              </w:rPr>
              <w:t>关于加快推进公共法律服务体系建设的实施意见</w:t>
            </w:r>
            <w:r>
              <w:rPr>
                <w:rFonts w:hint="eastAsia" w:ascii="仿宋_GB2312" w:hAnsi="仿宋_GB2312" w:eastAsia="仿宋_GB2312" w:cs="仿宋_GB2312"/>
                <w:color w:val="auto"/>
                <w:sz w:val="18"/>
                <w:szCs w:val="18"/>
                <w:lang w:eastAsia="zh-CN"/>
              </w:rPr>
              <w:t>〉的通知</w:t>
            </w:r>
            <w:r>
              <w:rPr>
                <w:rFonts w:hint="eastAsia" w:ascii="仿宋_GB2312" w:hAnsi="宋体" w:eastAsia="仿宋_GB2312"/>
                <w:color w:val="auto"/>
                <w:sz w:val="18"/>
                <w:szCs w:val="18"/>
                <w:lang w:eastAsia="zh-CN"/>
              </w:rPr>
              <w:t>》（吉法委发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2020</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4号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司法行政部门、公共法律服务中心</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工作站</w:t>
            </w:r>
            <w:r>
              <w:rPr>
                <w:rFonts w:hint="eastAsia" w:ascii="仿宋_GB2312" w:hAnsi="宋体" w:eastAsia="仿宋_GB2312"/>
                <w:color w:val="auto"/>
                <w:sz w:val="18"/>
                <w:szCs w:val="18"/>
                <w:lang w:eastAsia="zh-CN"/>
              </w:rPr>
              <w:t>）</w:t>
            </w:r>
          </w:p>
        </w:tc>
        <w:tc>
          <w:tcPr>
            <w:tcW w:w="2596" w:type="dxa"/>
            <w:noWrap w:val="0"/>
            <w:vAlign w:val="center"/>
          </w:tcPr>
          <w:p>
            <w:pPr>
              <w:widowControl/>
              <w:jc w:val="both"/>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微信公众号</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（工作站、室）</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1" w:hRule="atLeast"/>
          <w:jc w:val="center"/>
        </w:trPr>
        <w:tc>
          <w:tcPr>
            <w:tcW w:w="540" w:type="dxa"/>
            <w:vMerge w:val="restart"/>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5</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申办</w:t>
            </w:r>
          </w:p>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服务</w:t>
            </w:r>
          </w:p>
        </w:tc>
        <w:tc>
          <w:tcPr>
            <w:tcW w:w="1200" w:type="dxa"/>
            <w:vMerge w:val="restart"/>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办理公证事项和事务</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服务指南</w:t>
            </w:r>
          </w:p>
        </w:tc>
        <w:tc>
          <w:tcPr>
            <w:tcW w:w="294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《中华人民共和国公证法》（</w:t>
            </w:r>
            <w:r>
              <w:rPr>
                <w:rFonts w:hint="eastAsia" w:ascii="仿宋_GB2312" w:hAnsi="宋体" w:eastAsia="仿宋_GB2312"/>
                <w:color w:val="auto"/>
                <w:sz w:val="18"/>
                <w:szCs w:val="18"/>
                <w:lang w:val="en-US" w:eastAsia="zh-CN"/>
              </w:rPr>
              <w:t>2017年9月1日</w:t>
            </w:r>
            <w:r>
              <w:rPr>
                <w:rFonts w:hint="eastAsia" w:ascii="仿宋_GB2312" w:hAnsi="宋体" w:eastAsia="仿宋_GB2312"/>
                <w:color w:val="auto"/>
                <w:sz w:val="18"/>
                <w:szCs w:val="18"/>
                <w:lang w:eastAsia="zh-CN"/>
              </w:rPr>
              <w:t>中华人民共和国主席令第76号），《中华人民共和国政府信息公开条例》（2019年4月3日中华人民共和国国务院令第711号）</w:t>
            </w:r>
          </w:p>
        </w:tc>
        <w:tc>
          <w:tcPr>
            <w:tcW w:w="1291" w:type="dxa"/>
            <w:vMerge w:val="restart"/>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■公共法律服务中心</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540" w:type="dxa"/>
            <w:vMerge w:val="continue"/>
            <w:noWrap w:val="0"/>
            <w:vAlign w:val="center"/>
          </w:tcPr>
          <w:p>
            <w:pPr>
              <w:widowControl/>
              <w:jc w:val="center"/>
              <w:textAlignment w:val="center"/>
              <w:rPr>
                <w:rFonts w:hint="eastAsia" w:ascii="仿宋_GB2312" w:hAnsi="宋体" w:eastAsia="仿宋_GB2312"/>
                <w:color w:val="auto"/>
                <w:sz w:val="18"/>
                <w:szCs w:val="18"/>
                <w:lang w:val="en-US" w:eastAsia="zh-CN"/>
              </w:rPr>
            </w:pP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vMerge w:val="continue"/>
            <w:noWrap w:val="0"/>
            <w:vAlign w:val="center"/>
          </w:tcPr>
          <w:p>
            <w:pPr>
              <w:widowControl/>
              <w:jc w:val="center"/>
              <w:textAlignment w:val="center"/>
              <w:rPr>
                <w:rFonts w:hint="eastAsia" w:ascii="仿宋_GB2312" w:hAnsi="宋体" w:eastAsia="仿宋_GB2312"/>
                <w:color w:val="auto"/>
                <w:sz w:val="18"/>
                <w:szCs w:val="18"/>
                <w:lang w:eastAsia="zh-CN"/>
              </w:rPr>
            </w:pP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办理结果</w:t>
            </w:r>
          </w:p>
        </w:tc>
        <w:tc>
          <w:tcPr>
            <w:tcW w:w="2948" w:type="dxa"/>
            <w:vMerge w:val="continue"/>
            <w:noWrap w:val="0"/>
            <w:vAlign w:val="center"/>
          </w:tcPr>
          <w:p>
            <w:pPr>
              <w:jc w:val="center"/>
              <w:rPr>
                <w:rFonts w:hint="eastAsia" w:ascii="仿宋_GB2312" w:hAnsi="宋体" w:eastAsia="仿宋_GB2312"/>
                <w:color w:val="auto"/>
                <w:sz w:val="18"/>
                <w:szCs w:val="18"/>
                <w:lang w:eastAsia="zh-CN"/>
              </w:rPr>
            </w:pPr>
          </w:p>
        </w:tc>
        <w:tc>
          <w:tcPr>
            <w:tcW w:w="1291" w:type="dxa"/>
            <w:vMerge w:val="continue"/>
            <w:noWrap w:val="0"/>
            <w:vAlign w:val="center"/>
          </w:tcPr>
          <w:p>
            <w:pPr>
              <w:jc w:val="center"/>
              <w:rPr>
                <w:rFonts w:hint="eastAsia" w:ascii="仿宋_GB2312" w:hAnsi="宋体" w:eastAsia="仿宋_GB2312"/>
                <w:color w:val="auto"/>
                <w:sz w:val="18"/>
                <w:szCs w:val="18"/>
              </w:rPr>
            </w:pPr>
          </w:p>
        </w:tc>
        <w:tc>
          <w:tcPr>
            <w:tcW w:w="1004" w:type="dxa"/>
            <w:vMerge w:val="continue"/>
            <w:noWrap w:val="0"/>
            <w:vAlign w:val="center"/>
          </w:tcPr>
          <w:p>
            <w:pPr>
              <w:jc w:val="center"/>
              <w:rPr>
                <w:rFonts w:hint="eastAsia" w:ascii="仿宋_GB2312" w:hAnsi="宋体" w:eastAsia="仿宋_GB2312"/>
                <w:color w:val="auto"/>
                <w:sz w:val="18"/>
                <w:szCs w:val="18"/>
              </w:rPr>
            </w:pPr>
          </w:p>
        </w:tc>
        <w:tc>
          <w:tcPr>
            <w:tcW w:w="2596" w:type="dxa"/>
            <w:noWrap w:val="0"/>
            <w:vAlign w:val="center"/>
          </w:tcPr>
          <w:p>
            <w:pPr>
              <w:widowControl/>
              <w:jc w:val="center"/>
              <w:textAlignment w:val="center"/>
              <w:rPr>
                <w:rFonts w:ascii="仿宋_GB2312" w:hAnsi="宋体" w:eastAsia="仿宋_GB2312"/>
                <w:color w:val="auto"/>
                <w:sz w:val="18"/>
                <w:szCs w:val="18"/>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精准推送</w:t>
            </w:r>
          </w:p>
        </w:tc>
        <w:tc>
          <w:tcPr>
            <w:tcW w:w="1112" w:type="dxa"/>
            <w:noWrap w:val="0"/>
            <w:vAlign w:val="center"/>
          </w:tcPr>
          <w:p>
            <w:pPr>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特定群众</w:t>
            </w:r>
          </w:p>
        </w:tc>
        <w:tc>
          <w:tcPr>
            <w:tcW w:w="1126" w:type="dxa"/>
            <w:noWrap w:val="0"/>
            <w:vAlign w:val="center"/>
          </w:tcPr>
          <w:p>
            <w:pPr>
              <w:jc w:val="center"/>
              <w:rPr>
                <w:rFonts w:ascii="仿宋_GB2312" w:hAnsi="宋体" w:eastAsia="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4" w:hRule="atLeast"/>
          <w:jc w:val="center"/>
        </w:trPr>
        <w:tc>
          <w:tcPr>
            <w:tcW w:w="540" w:type="dxa"/>
            <w:vMerge w:val="restart"/>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6</w:t>
            </w: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vMerge w:val="restart"/>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法律援助服务</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服务指南</w:t>
            </w:r>
          </w:p>
        </w:tc>
        <w:tc>
          <w:tcPr>
            <w:tcW w:w="2948" w:type="dxa"/>
            <w:vMerge w:val="restart"/>
            <w:noWrap w:val="0"/>
            <w:vAlign w:val="center"/>
          </w:tcPr>
          <w:p>
            <w:pPr>
              <w:jc w:val="center"/>
              <w:rPr>
                <w:rFonts w:hint="eastAsia" w:ascii="仿宋_GB2312" w:hAnsi="宋体" w:eastAsia="宋体"/>
                <w:color w:val="auto"/>
                <w:sz w:val="18"/>
                <w:szCs w:val="18"/>
                <w:lang w:eastAsia="zh-CN"/>
              </w:rPr>
            </w:pPr>
            <w:r>
              <w:rPr>
                <w:rFonts w:hint="eastAsia" w:ascii="仿宋_GB2312" w:hAnsi="宋体" w:eastAsia="仿宋_GB2312"/>
                <w:color w:val="auto"/>
                <w:sz w:val="18"/>
                <w:szCs w:val="18"/>
                <w:lang w:eastAsia="zh-CN"/>
              </w:rPr>
              <w:t>《中华人民共和国法律援助条例》（2003年7月21日国务院令第385号），《中华人民共和国政府信息公开条例》（2019年4月3日中华人民共和国国务院令第711号），《江西省法律援助条例》（</w:t>
            </w:r>
            <w:r>
              <w:rPr>
                <w:rFonts w:hint="eastAsia" w:ascii="仿宋_GB2312" w:hAnsi="宋体" w:eastAsia="仿宋_GB2312"/>
                <w:color w:val="auto"/>
                <w:sz w:val="18"/>
                <w:szCs w:val="18"/>
                <w:lang w:val="en-US" w:eastAsia="zh-CN"/>
              </w:rPr>
              <w:t>2013年11月29日</w:t>
            </w:r>
            <w:r>
              <w:rPr>
                <w:rFonts w:hint="eastAsia" w:ascii="仿宋_GB2312" w:hAnsi="宋体" w:eastAsia="仿宋_GB2312"/>
                <w:color w:val="auto"/>
                <w:sz w:val="18"/>
                <w:szCs w:val="18"/>
                <w:lang w:eastAsia="zh-CN"/>
              </w:rPr>
              <w:t>江西省人民代表大会常务委员会公告第23号）</w:t>
            </w:r>
          </w:p>
        </w:tc>
        <w:tc>
          <w:tcPr>
            <w:tcW w:w="1291" w:type="dxa"/>
            <w:vMerge w:val="restart"/>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vMerge w:val="restart"/>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（工作站）</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540" w:type="dxa"/>
            <w:vMerge w:val="continue"/>
            <w:noWrap w:val="0"/>
            <w:vAlign w:val="center"/>
          </w:tcPr>
          <w:p>
            <w:pPr>
              <w:widowControl/>
              <w:jc w:val="center"/>
              <w:textAlignment w:val="center"/>
              <w:rPr>
                <w:rFonts w:hint="eastAsia" w:ascii="仿宋_GB2312" w:hAnsi="宋体" w:eastAsia="仿宋_GB2312"/>
                <w:color w:val="auto"/>
                <w:sz w:val="18"/>
                <w:szCs w:val="18"/>
                <w:lang w:val="en-US" w:eastAsia="zh-CN"/>
              </w:rPr>
            </w:pP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vMerge w:val="continue"/>
            <w:noWrap w:val="0"/>
            <w:vAlign w:val="center"/>
          </w:tcPr>
          <w:p>
            <w:pPr>
              <w:widowControl/>
              <w:jc w:val="center"/>
              <w:textAlignment w:val="center"/>
              <w:rPr>
                <w:rFonts w:hint="eastAsia" w:ascii="仿宋_GB2312" w:hAnsi="宋体" w:eastAsia="仿宋_GB2312"/>
                <w:color w:val="auto"/>
                <w:sz w:val="18"/>
                <w:szCs w:val="18"/>
                <w:lang w:eastAsia="zh-CN"/>
              </w:rPr>
            </w:pP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办理结果</w:t>
            </w:r>
          </w:p>
        </w:tc>
        <w:tc>
          <w:tcPr>
            <w:tcW w:w="2948" w:type="dxa"/>
            <w:vMerge w:val="continue"/>
            <w:noWrap w:val="0"/>
            <w:vAlign w:val="center"/>
          </w:tcPr>
          <w:p>
            <w:pPr>
              <w:jc w:val="center"/>
              <w:rPr>
                <w:rFonts w:hint="eastAsia" w:ascii="仿宋_GB2312" w:hAnsi="宋体" w:eastAsia="仿宋_GB2312"/>
                <w:color w:val="auto"/>
                <w:sz w:val="18"/>
                <w:szCs w:val="18"/>
                <w:lang w:eastAsia="zh-CN"/>
              </w:rPr>
            </w:pPr>
          </w:p>
        </w:tc>
        <w:tc>
          <w:tcPr>
            <w:tcW w:w="1291" w:type="dxa"/>
            <w:vMerge w:val="continue"/>
            <w:noWrap w:val="0"/>
            <w:vAlign w:val="center"/>
          </w:tcPr>
          <w:p>
            <w:pPr>
              <w:jc w:val="center"/>
              <w:rPr>
                <w:rFonts w:hint="eastAsia" w:ascii="仿宋_GB2312" w:hAnsi="宋体" w:eastAsia="仿宋_GB2312"/>
                <w:color w:val="auto"/>
                <w:sz w:val="18"/>
                <w:szCs w:val="18"/>
              </w:rPr>
            </w:pPr>
          </w:p>
        </w:tc>
        <w:tc>
          <w:tcPr>
            <w:tcW w:w="1004" w:type="dxa"/>
            <w:vMerge w:val="continue"/>
            <w:noWrap w:val="0"/>
            <w:vAlign w:val="center"/>
          </w:tcPr>
          <w:p>
            <w:pPr>
              <w:jc w:val="center"/>
              <w:rPr>
                <w:rFonts w:hint="eastAsia" w:ascii="仿宋_GB2312" w:hAnsi="宋体" w:eastAsia="仿宋_GB2312"/>
                <w:color w:val="auto"/>
                <w:sz w:val="18"/>
                <w:szCs w:val="18"/>
                <w:lang w:eastAsia="zh-CN"/>
              </w:rPr>
            </w:pPr>
          </w:p>
        </w:tc>
        <w:tc>
          <w:tcPr>
            <w:tcW w:w="2596" w:type="dxa"/>
            <w:noWrap w:val="0"/>
            <w:vAlign w:val="center"/>
          </w:tcPr>
          <w:p>
            <w:pPr>
              <w:widowControl/>
              <w:jc w:val="center"/>
              <w:textAlignment w:val="center"/>
              <w:rPr>
                <w:rFonts w:ascii="仿宋_GB2312" w:hAnsi="宋体" w:eastAsia="仿宋_GB2312"/>
                <w:color w:val="auto"/>
                <w:sz w:val="18"/>
                <w:szCs w:val="18"/>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精准推送</w:t>
            </w:r>
          </w:p>
        </w:tc>
        <w:tc>
          <w:tcPr>
            <w:tcW w:w="1112"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val="en-US" w:eastAsia="zh-CN"/>
              </w:rPr>
              <w:t>特定群众</w:t>
            </w:r>
          </w:p>
        </w:tc>
        <w:tc>
          <w:tcPr>
            <w:tcW w:w="1126" w:type="dxa"/>
            <w:noWrap w:val="0"/>
            <w:vAlign w:val="center"/>
          </w:tcPr>
          <w:p>
            <w:pPr>
              <w:jc w:val="center"/>
              <w:rPr>
                <w:rFonts w:ascii="仿宋_GB2312" w:hAnsi="宋体" w:eastAsia="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8" w:hRule="atLeast"/>
          <w:jc w:val="center"/>
        </w:trPr>
        <w:tc>
          <w:tcPr>
            <w:tcW w:w="540" w:type="dxa"/>
            <w:vMerge w:val="restart"/>
            <w:noWrap w:val="0"/>
            <w:vAlign w:val="center"/>
          </w:tcPr>
          <w:p>
            <w:pPr>
              <w:widowControl/>
              <w:jc w:val="center"/>
              <w:textAlignment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7</w:t>
            </w: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vMerge w:val="restart"/>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调解服务</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服务指南</w:t>
            </w:r>
          </w:p>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p>
        </w:tc>
        <w:tc>
          <w:tcPr>
            <w:tcW w:w="294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《中华人民共和国调解法》（</w:t>
            </w:r>
            <w:r>
              <w:rPr>
                <w:rFonts w:hint="eastAsia" w:ascii="仿宋_GB2312" w:hAnsi="宋体" w:eastAsia="仿宋_GB2312"/>
                <w:color w:val="auto"/>
                <w:sz w:val="18"/>
                <w:szCs w:val="18"/>
                <w:lang w:val="en-US" w:eastAsia="zh-CN"/>
              </w:rPr>
              <w:t>2010年8月28日</w:t>
            </w:r>
            <w:r>
              <w:rPr>
                <w:rFonts w:hint="eastAsia" w:ascii="仿宋_GB2312" w:hAnsi="宋体" w:eastAsia="仿宋_GB2312"/>
                <w:color w:val="auto"/>
                <w:sz w:val="18"/>
                <w:szCs w:val="18"/>
                <w:lang w:eastAsia="zh-CN"/>
              </w:rPr>
              <w:t>中华人民共和国主席令第</w:t>
            </w:r>
            <w:r>
              <w:rPr>
                <w:rFonts w:hint="eastAsia" w:ascii="仿宋_GB2312" w:hAnsi="宋体" w:eastAsia="仿宋_GB2312"/>
                <w:color w:val="auto"/>
                <w:sz w:val="18"/>
                <w:szCs w:val="18"/>
                <w:lang w:val="en-US" w:eastAsia="zh-CN"/>
              </w:rPr>
              <w:t>34</w:t>
            </w:r>
            <w:r>
              <w:rPr>
                <w:rFonts w:hint="eastAsia" w:ascii="仿宋_GB2312" w:hAnsi="宋体" w:eastAsia="仿宋_GB2312"/>
                <w:color w:val="auto"/>
                <w:sz w:val="18"/>
                <w:szCs w:val="18"/>
                <w:lang w:eastAsia="zh-CN"/>
              </w:rPr>
              <w:t>号），《中华人民共和国政府信息公开条例》（2019年4月3日中华人民共和国国务院令第711号）</w:t>
            </w:r>
          </w:p>
        </w:tc>
        <w:tc>
          <w:tcPr>
            <w:tcW w:w="1291" w:type="dxa"/>
            <w:vMerge w:val="restart"/>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r>
              <w:rPr>
                <w:rFonts w:hint="eastAsia" w:ascii="仿宋_GB2312" w:hAnsi="宋体" w:eastAsia="仿宋_GB2312"/>
                <w:color w:val="auto"/>
                <w:sz w:val="18"/>
                <w:szCs w:val="18"/>
                <w:lang w:eastAsia="zh-CN"/>
              </w:rPr>
              <w:t>（工作站）</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40" w:type="dxa"/>
            <w:vMerge w:val="continue"/>
            <w:noWrap w:val="0"/>
            <w:vAlign w:val="center"/>
          </w:tcPr>
          <w:p>
            <w:pPr>
              <w:widowControl/>
              <w:jc w:val="center"/>
              <w:textAlignment w:val="center"/>
              <w:rPr>
                <w:rFonts w:hint="eastAsia" w:ascii="仿宋_GB2312" w:hAnsi="宋体" w:eastAsia="仿宋_GB2312"/>
                <w:color w:val="auto"/>
                <w:sz w:val="18"/>
                <w:szCs w:val="18"/>
                <w:lang w:val="en-US" w:eastAsia="zh-CN"/>
              </w:rPr>
            </w:pP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vMerge w:val="continue"/>
            <w:noWrap w:val="0"/>
            <w:vAlign w:val="center"/>
          </w:tcPr>
          <w:p>
            <w:pPr>
              <w:widowControl/>
              <w:jc w:val="center"/>
              <w:textAlignment w:val="center"/>
              <w:rPr>
                <w:rFonts w:hint="eastAsia" w:ascii="仿宋_GB2312" w:hAnsi="宋体" w:eastAsia="仿宋_GB2312"/>
                <w:color w:val="auto"/>
                <w:sz w:val="18"/>
                <w:szCs w:val="18"/>
                <w:lang w:eastAsia="zh-CN"/>
              </w:rPr>
            </w:pP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办理结果</w:t>
            </w:r>
          </w:p>
        </w:tc>
        <w:tc>
          <w:tcPr>
            <w:tcW w:w="2948" w:type="dxa"/>
            <w:vMerge w:val="continue"/>
            <w:noWrap w:val="0"/>
            <w:vAlign w:val="center"/>
          </w:tcPr>
          <w:p>
            <w:pPr>
              <w:jc w:val="center"/>
              <w:rPr>
                <w:rFonts w:hint="eastAsia" w:ascii="仿宋_GB2312" w:hAnsi="宋体" w:eastAsia="仿宋_GB2312"/>
                <w:color w:val="auto"/>
                <w:sz w:val="18"/>
                <w:szCs w:val="18"/>
                <w:lang w:eastAsia="zh-CN"/>
              </w:rPr>
            </w:pPr>
          </w:p>
        </w:tc>
        <w:tc>
          <w:tcPr>
            <w:tcW w:w="1291" w:type="dxa"/>
            <w:vMerge w:val="continue"/>
            <w:noWrap w:val="0"/>
            <w:vAlign w:val="center"/>
          </w:tcPr>
          <w:p>
            <w:pPr>
              <w:jc w:val="center"/>
              <w:rPr>
                <w:rFonts w:hint="eastAsia" w:ascii="仿宋_GB2312" w:hAnsi="宋体" w:eastAsia="仿宋_GB2312"/>
                <w:color w:val="auto"/>
                <w:sz w:val="18"/>
                <w:szCs w:val="18"/>
              </w:rPr>
            </w:pPr>
          </w:p>
        </w:tc>
        <w:tc>
          <w:tcPr>
            <w:tcW w:w="1004" w:type="dxa"/>
            <w:vMerge w:val="continue"/>
            <w:noWrap w:val="0"/>
            <w:vAlign w:val="center"/>
          </w:tcPr>
          <w:p>
            <w:pPr>
              <w:jc w:val="center"/>
              <w:rPr>
                <w:rFonts w:hint="eastAsia" w:ascii="仿宋_GB2312" w:hAnsi="宋体" w:eastAsia="仿宋_GB2312"/>
                <w:color w:val="auto"/>
                <w:sz w:val="18"/>
                <w:szCs w:val="18"/>
                <w:lang w:eastAsia="zh-CN"/>
              </w:rPr>
            </w:pPr>
          </w:p>
        </w:tc>
        <w:tc>
          <w:tcPr>
            <w:tcW w:w="2596" w:type="dxa"/>
            <w:noWrap w:val="0"/>
            <w:vAlign w:val="center"/>
          </w:tcPr>
          <w:p>
            <w:pPr>
              <w:widowControl/>
              <w:jc w:val="center"/>
              <w:textAlignment w:val="center"/>
              <w:rPr>
                <w:rFonts w:ascii="仿宋_GB2312" w:hAnsi="宋体" w:eastAsia="仿宋_GB2312"/>
                <w:color w:val="auto"/>
                <w:sz w:val="18"/>
                <w:szCs w:val="18"/>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精准推送</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特定群众</w:t>
            </w:r>
          </w:p>
        </w:tc>
        <w:tc>
          <w:tcPr>
            <w:tcW w:w="1126" w:type="dxa"/>
            <w:noWrap w:val="0"/>
            <w:vAlign w:val="center"/>
          </w:tcPr>
          <w:p>
            <w:pPr>
              <w:jc w:val="center"/>
              <w:rPr>
                <w:rFonts w:ascii="仿宋_GB2312" w:hAnsi="宋体" w:eastAsia="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8</w:t>
            </w:r>
          </w:p>
        </w:tc>
        <w:tc>
          <w:tcPr>
            <w:tcW w:w="1108" w:type="dxa"/>
            <w:vMerge w:val="continue"/>
            <w:noWrap w:val="0"/>
            <w:vAlign w:val="center"/>
          </w:tcPr>
          <w:p>
            <w:pPr>
              <w:jc w:val="center"/>
              <w:rPr>
                <w:rFonts w:hint="eastAsia" w:ascii="仿宋_GB2312" w:hAnsi="宋体" w:eastAsia="仿宋_GB2312"/>
                <w:color w:val="auto"/>
                <w:sz w:val="18"/>
                <w:szCs w:val="18"/>
              </w:rPr>
            </w:pPr>
          </w:p>
        </w:tc>
        <w:tc>
          <w:tcPr>
            <w:tcW w:w="120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行政许可</w:t>
            </w:r>
          </w:p>
        </w:tc>
        <w:tc>
          <w:tcPr>
            <w:tcW w:w="1461" w:type="dxa"/>
            <w:noWrap w:val="0"/>
            <w:vAlign w:val="center"/>
          </w:tcPr>
          <w:p>
            <w:pPr>
              <w:tabs>
                <w:tab w:val="center" w:pos="4153"/>
                <w:tab w:val="right" w:pos="8306"/>
              </w:tabs>
              <w:snapToGrid w:val="0"/>
              <w:spacing w:line="360" w:lineRule="auto"/>
              <w:jc w:val="left"/>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1.行政许可目录；</w:t>
            </w:r>
          </w:p>
          <w:p>
            <w:pPr>
              <w:tabs>
                <w:tab w:val="center" w:pos="4153"/>
                <w:tab w:val="right" w:pos="8306"/>
              </w:tabs>
              <w:snapToGrid w:val="0"/>
              <w:spacing w:line="360" w:lineRule="auto"/>
              <w:jc w:val="left"/>
              <w:rPr>
                <w:rFonts w:hint="eastAsia"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2.行政许可项目服务指南；</w:t>
            </w:r>
          </w:p>
          <w:p>
            <w:pPr>
              <w:tabs>
                <w:tab w:val="center" w:pos="4153"/>
                <w:tab w:val="right" w:pos="8306"/>
              </w:tabs>
              <w:snapToGrid w:val="0"/>
              <w:spacing w:line="360" w:lineRule="auto"/>
              <w:jc w:val="left"/>
              <w:rPr>
                <w:rFonts w:hint="default" w:ascii="仿宋_GB2312" w:hAnsi="宋体" w:eastAsia="仿宋_GB2312"/>
                <w:color w:val="auto"/>
                <w:spacing w:val="-17"/>
                <w:sz w:val="18"/>
                <w:szCs w:val="18"/>
                <w:lang w:val="en-US" w:eastAsia="zh-CN"/>
              </w:rPr>
            </w:pPr>
            <w:r>
              <w:rPr>
                <w:rFonts w:hint="eastAsia" w:ascii="仿宋_GB2312" w:hAnsi="宋体" w:eastAsia="仿宋_GB2312"/>
                <w:color w:val="auto"/>
                <w:sz w:val="18"/>
                <w:szCs w:val="18"/>
                <w:lang w:val="en-US" w:eastAsia="zh-CN"/>
              </w:rPr>
              <w:t>3.办理结果</w:t>
            </w:r>
          </w:p>
        </w:tc>
        <w:tc>
          <w:tcPr>
            <w:tcW w:w="2948"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《中华人民共和国政府信息公开条例》（2019年4月3日中华人民共和国国务院令第711号），《江西省司法厅关于进一步加强政务公开工作的意见》（赣司办字〔</w:t>
            </w:r>
            <w:r>
              <w:rPr>
                <w:rFonts w:hint="eastAsia" w:ascii="仿宋_GB2312" w:hAnsi="宋体" w:eastAsia="仿宋_GB2312"/>
                <w:color w:val="auto"/>
                <w:sz w:val="18"/>
                <w:szCs w:val="18"/>
                <w:lang w:val="en-US" w:eastAsia="zh-CN"/>
              </w:rPr>
              <w:t>2020</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lang w:val="en-US" w:eastAsia="zh-CN"/>
              </w:rPr>
              <w:t>39号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p>
          <w:p>
            <w:pPr>
              <w:widowControl/>
              <w:jc w:val="left"/>
              <w:textAlignment w:val="center"/>
              <w:rPr>
                <w:rFonts w:ascii="仿宋_GB2312" w:hAnsi="宋体" w:eastAsia="仿宋_GB2312"/>
                <w:color w:val="auto"/>
                <w:sz w:val="18"/>
                <w:szCs w:val="18"/>
              </w:rPr>
            </w:pPr>
            <w:r>
              <w:rPr>
                <w:rFonts w:hint="eastAsia" w:ascii="仿宋_GB2312" w:hAnsi="宋体" w:eastAsia="仿宋_GB2312"/>
                <w:color w:val="auto"/>
                <w:sz w:val="18"/>
                <w:szCs w:val="18"/>
              </w:rPr>
              <w:t>■</w:t>
            </w:r>
            <w:r>
              <w:rPr>
                <w:rFonts w:hint="eastAsia" w:ascii="仿宋_GB2312" w:hAnsi="宋体" w:eastAsia="仿宋_GB2312"/>
                <w:color w:val="auto"/>
                <w:spacing w:val="-6"/>
                <w:sz w:val="18"/>
                <w:szCs w:val="18"/>
                <w:lang w:eastAsia="zh-CN"/>
              </w:rPr>
              <w:t>政务服务大厅</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6"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9</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其他公共服务</w:t>
            </w:r>
          </w:p>
        </w:tc>
        <w:tc>
          <w:tcPr>
            <w:tcW w:w="120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法律知识普及</w:t>
            </w:r>
            <w:r>
              <w:rPr>
                <w:rFonts w:hint="eastAsia" w:ascii="仿宋_GB2312" w:hAnsi="宋体" w:eastAsia="仿宋_GB2312"/>
                <w:color w:val="auto"/>
                <w:sz w:val="18"/>
                <w:szCs w:val="18"/>
                <w:lang w:eastAsia="zh-CN"/>
              </w:rPr>
              <w:t>服务</w:t>
            </w:r>
          </w:p>
        </w:tc>
        <w:tc>
          <w:tcPr>
            <w:tcW w:w="1461" w:type="dxa"/>
            <w:noWrap w:val="0"/>
            <w:vAlign w:val="center"/>
          </w:tcPr>
          <w:p>
            <w:pPr>
              <w:widowControl/>
              <w:jc w:val="center"/>
              <w:textAlignment w:val="center"/>
              <w:rPr>
                <w:rFonts w:hint="eastAsia" w:ascii="仿宋_GB2312" w:hAnsi="宋体" w:eastAsia="仿宋_GB2312"/>
                <w:color w:val="auto"/>
                <w:spacing w:val="-17"/>
                <w:sz w:val="18"/>
                <w:szCs w:val="18"/>
                <w:lang w:val="en-US" w:eastAsia="zh-CN"/>
              </w:rPr>
            </w:pPr>
            <w:r>
              <w:rPr>
                <w:rFonts w:hint="eastAsia" w:ascii="仿宋_GB2312" w:hAnsi="宋体" w:eastAsia="仿宋_GB2312"/>
                <w:color w:val="auto"/>
                <w:sz w:val="18"/>
                <w:szCs w:val="18"/>
              </w:rPr>
              <w:t>普法动态资讯等</w:t>
            </w:r>
          </w:p>
        </w:tc>
        <w:tc>
          <w:tcPr>
            <w:tcW w:w="2948"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《吉安市“七五”普法规划》（吉发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2016</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13号</w:t>
            </w:r>
            <w:r>
              <w:rPr>
                <w:rFonts w:hint="eastAsia" w:ascii="仿宋_GB2312" w:hAnsi="宋体" w:eastAsia="仿宋_GB2312"/>
                <w:color w:val="auto"/>
                <w:sz w:val="18"/>
                <w:szCs w:val="18"/>
                <w:lang w:eastAsia="zh-CN"/>
              </w:rPr>
              <w:t>）</w:t>
            </w:r>
          </w:p>
        </w:tc>
        <w:tc>
          <w:tcPr>
            <w:tcW w:w="1291"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widowControl/>
              <w:jc w:val="center"/>
              <w:textAlignment w:val="center"/>
              <w:rPr>
                <w:rFonts w:hint="eastAsia"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10</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推广法治文化</w:t>
            </w:r>
            <w:r>
              <w:rPr>
                <w:rFonts w:hint="eastAsia" w:ascii="仿宋_GB2312" w:hAnsi="宋体" w:eastAsia="仿宋_GB2312"/>
                <w:color w:val="auto"/>
                <w:sz w:val="18"/>
                <w:szCs w:val="18"/>
                <w:lang w:eastAsia="zh-CN"/>
              </w:rPr>
              <w:t>服务</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pacing w:val="-17"/>
                <w:sz w:val="18"/>
                <w:szCs w:val="18"/>
                <w:lang w:val="en-US" w:eastAsia="zh-CN"/>
              </w:rPr>
            </w:pPr>
            <w:r>
              <w:rPr>
                <w:rFonts w:hint="eastAsia" w:ascii="仿宋_GB2312" w:hAnsi="宋体" w:eastAsia="仿宋_GB2312"/>
                <w:color w:val="auto"/>
                <w:sz w:val="18"/>
                <w:szCs w:val="18"/>
              </w:rPr>
              <w:t>辖区内法治文化阵地信息；法治文化作品、产品</w:t>
            </w:r>
          </w:p>
        </w:tc>
        <w:tc>
          <w:tcPr>
            <w:tcW w:w="2948"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《吉安市“七五”普法规划》（吉发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2016</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13号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15</w:t>
            </w:r>
            <w:r>
              <w:rPr>
                <w:rFonts w:hint="eastAsia" w:ascii="仿宋_GB2312" w:hAnsi="宋体" w:eastAsia="仿宋_GB2312"/>
                <w:color w:val="auto"/>
                <w:sz w:val="18"/>
                <w:szCs w:val="18"/>
              </w:rPr>
              <w:t>个工作日内公开</w:t>
            </w:r>
          </w:p>
        </w:tc>
        <w:tc>
          <w:tcPr>
            <w:tcW w:w="1004"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widowControl/>
              <w:jc w:val="left"/>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■公共法律服务中心</w:t>
            </w:r>
          </w:p>
          <w:p>
            <w:pPr>
              <w:widowControl/>
              <w:jc w:val="left"/>
              <w:textAlignment w:val="center"/>
              <w:rPr>
                <w:rFonts w:hint="eastAsia" w:ascii="仿宋_GB2312" w:hAnsi="宋体" w:eastAsia="仿宋_GB2312"/>
                <w:color w:val="auto"/>
                <w:sz w:val="18"/>
                <w:szCs w:val="18"/>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8"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11</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w:t>
            </w:r>
          </w:p>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奖励</w:t>
            </w:r>
          </w:p>
        </w:tc>
        <w:tc>
          <w:tcPr>
            <w:tcW w:w="1200"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对</w:t>
            </w:r>
            <w:r>
              <w:rPr>
                <w:rFonts w:hint="eastAsia" w:ascii="仿宋_GB2312" w:hAnsi="宋体" w:eastAsia="仿宋_GB2312"/>
                <w:color w:val="auto"/>
                <w:sz w:val="18"/>
                <w:szCs w:val="18"/>
                <w:lang w:eastAsia="zh-CN"/>
              </w:rPr>
              <w:t>在</w:t>
            </w:r>
            <w:r>
              <w:rPr>
                <w:rFonts w:hint="eastAsia" w:ascii="仿宋_GB2312" w:hAnsi="宋体" w:eastAsia="仿宋_GB2312"/>
                <w:color w:val="auto"/>
                <w:sz w:val="18"/>
                <w:szCs w:val="18"/>
              </w:rPr>
              <w:t>法治宣传教育工作中做出显著成绩的单位和个人进行表彰奖励</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表彰决定</w:t>
            </w:r>
          </w:p>
        </w:tc>
        <w:tc>
          <w:tcPr>
            <w:tcW w:w="294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《中华人民共和国政府信息公开条例》（2019年4月3日中华人民共和国国务院令第711号），《司法部办公厅关于印发公共法律服务领域基层政务公开标准指引的通知》（司发通</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2019</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57号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w:t>
            </w:r>
            <w:r>
              <w:rPr>
                <w:rFonts w:hint="eastAsia" w:ascii="仿宋_GB2312" w:hAnsi="宋体" w:eastAsia="仿宋_GB2312"/>
                <w:color w:val="auto"/>
                <w:sz w:val="18"/>
                <w:szCs w:val="18"/>
                <w:lang w:eastAsia="zh-CN"/>
              </w:rPr>
              <w:t>《吉安市“七五”普法规划》（吉发</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2016</w:t>
            </w:r>
            <w:r>
              <w:rPr>
                <w:rFonts w:hint="eastAsia" w:ascii="仿宋_GB2312" w:hAnsi="仿宋_GB2312" w:eastAsia="仿宋_GB2312" w:cs="仿宋_GB2312"/>
                <w:color w:val="auto"/>
                <w:sz w:val="18"/>
                <w:szCs w:val="18"/>
                <w:lang w:eastAsia="zh-CN"/>
              </w:rPr>
              <w:t>〕</w:t>
            </w:r>
            <w:r>
              <w:rPr>
                <w:rFonts w:hint="eastAsia" w:ascii="仿宋_GB2312" w:hAnsi="仿宋_GB2312" w:eastAsia="仿宋_GB2312" w:cs="仿宋_GB2312"/>
                <w:color w:val="auto"/>
                <w:sz w:val="18"/>
                <w:szCs w:val="18"/>
                <w:lang w:val="en-US" w:eastAsia="zh-CN"/>
              </w:rPr>
              <w:t>13号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10</w:t>
            </w:r>
            <w:r>
              <w:rPr>
                <w:rFonts w:hint="eastAsia" w:ascii="仿宋_GB2312" w:hAnsi="宋体" w:eastAsia="仿宋_GB2312"/>
                <w:color w:val="auto"/>
                <w:sz w:val="18"/>
                <w:szCs w:val="18"/>
              </w:rPr>
              <w:t>个工作日内公开</w:t>
            </w:r>
          </w:p>
        </w:tc>
        <w:tc>
          <w:tcPr>
            <w:tcW w:w="1004"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widowControl/>
              <w:jc w:val="center"/>
              <w:textAlignment w:val="center"/>
              <w:rPr>
                <w:rFonts w:hint="eastAsia"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12</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对在法律援助工作中作出突出贡献的组织和个人进行表彰奖励</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表彰决定</w:t>
            </w:r>
          </w:p>
        </w:tc>
        <w:tc>
          <w:tcPr>
            <w:tcW w:w="294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《中华人民共和国法律援助条例》（2003年7月21日国务院令第385号），《中华人民共和国政府信息公开条例》（2019年4月3日中华人民共和国国务院令第711号），《江西省法律援助条例》（</w:t>
            </w:r>
            <w:r>
              <w:rPr>
                <w:rFonts w:hint="eastAsia" w:ascii="仿宋_GB2312" w:hAnsi="宋体" w:eastAsia="仿宋_GB2312"/>
                <w:color w:val="auto"/>
                <w:sz w:val="18"/>
                <w:szCs w:val="18"/>
                <w:lang w:val="en-US" w:eastAsia="zh-CN"/>
              </w:rPr>
              <w:t>2013年11月29日</w:t>
            </w:r>
            <w:r>
              <w:rPr>
                <w:rFonts w:hint="eastAsia" w:ascii="仿宋_GB2312" w:hAnsi="宋体" w:eastAsia="仿宋_GB2312"/>
                <w:color w:val="auto"/>
                <w:sz w:val="18"/>
                <w:szCs w:val="18"/>
                <w:lang w:eastAsia="zh-CN"/>
              </w:rPr>
              <w:t>江西省人民代表大会常务委员会公告第23号）</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10</w:t>
            </w:r>
            <w:r>
              <w:rPr>
                <w:rFonts w:hint="eastAsia" w:ascii="仿宋_GB2312" w:hAnsi="宋体" w:eastAsia="仿宋_GB2312"/>
                <w:color w:val="auto"/>
                <w:sz w:val="18"/>
                <w:szCs w:val="18"/>
              </w:rPr>
              <w:t>个工作日内公开</w:t>
            </w:r>
          </w:p>
        </w:tc>
        <w:tc>
          <w:tcPr>
            <w:tcW w:w="1004"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widowControl/>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9"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13</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对有突出贡献的人民调解委员会和人民调解员按照国家规定给予表彰奖励</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表彰决定</w:t>
            </w:r>
          </w:p>
        </w:tc>
        <w:tc>
          <w:tcPr>
            <w:tcW w:w="2948"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《中华人民共和国调解法》（</w:t>
            </w:r>
            <w:r>
              <w:rPr>
                <w:rFonts w:hint="eastAsia" w:ascii="仿宋_GB2312" w:hAnsi="宋体" w:eastAsia="仿宋_GB2312"/>
                <w:color w:val="auto"/>
                <w:sz w:val="18"/>
                <w:szCs w:val="18"/>
                <w:lang w:val="en-US" w:eastAsia="zh-CN"/>
              </w:rPr>
              <w:t>2010年8月28日</w:t>
            </w:r>
            <w:r>
              <w:rPr>
                <w:rFonts w:hint="eastAsia" w:ascii="仿宋_GB2312" w:hAnsi="宋体" w:eastAsia="仿宋_GB2312"/>
                <w:color w:val="auto"/>
                <w:sz w:val="18"/>
                <w:szCs w:val="18"/>
                <w:lang w:eastAsia="zh-CN"/>
              </w:rPr>
              <w:t>中华人民共和国主席令第</w:t>
            </w:r>
            <w:r>
              <w:rPr>
                <w:rFonts w:hint="eastAsia" w:ascii="仿宋_GB2312" w:hAnsi="宋体" w:eastAsia="仿宋_GB2312"/>
                <w:color w:val="auto"/>
                <w:sz w:val="18"/>
                <w:szCs w:val="18"/>
                <w:lang w:val="en-US" w:eastAsia="zh-CN"/>
              </w:rPr>
              <w:t>34</w:t>
            </w:r>
            <w:r>
              <w:rPr>
                <w:rFonts w:hint="eastAsia" w:ascii="仿宋_GB2312" w:hAnsi="宋体" w:eastAsia="仿宋_GB2312"/>
                <w:color w:val="auto"/>
                <w:sz w:val="18"/>
                <w:szCs w:val="18"/>
                <w:lang w:eastAsia="zh-CN"/>
              </w:rPr>
              <w:t>号），《中华人民共和国政府信息公开条例》（2019年4月3日中华人民共和国国务院令第711号）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10</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7"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14</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对律师事务所、律师进行表彰奖励</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表彰决定</w:t>
            </w:r>
          </w:p>
        </w:tc>
        <w:tc>
          <w:tcPr>
            <w:tcW w:w="2948" w:type="dxa"/>
            <w:noWrap w:val="0"/>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firstLine="420"/>
              <w:jc w:val="left"/>
              <w:textAlignment w:val="auto"/>
              <w:rPr>
                <w:rFonts w:hint="default" w:ascii="仿宋_GB2312" w:hAnsi="宋体" w:eastAsia="仿宋_GB2312"/>
                <w:color w:val="auto"/>
                <w:sz w:val="18"/>
                <w:szCs w:val="18"/>
                <w:lang w:val="en-US"/>
              </w:rPr>
            </w:pPr>
            <w:r>
              <w:rPr>
                <w:rFonts w:hint="eastAsia" w:ascii="仿宋_GB2312" w:hAnsi="宋体" w:eastAsia="仿宋_GB2312" w:cstheme="minorBidi"/>
                <w:color w:val="auto"/>
                <w:kern w:val="2"/>
                <w:sz w:val="18"/>
                <w:szCs w:val="18"/>
                <w:lang w:val="en-US" w:eastAsia="zh-CN" w:bidi="ar-SA"/>
              </w:rPr>
              <w:t>《中华人民共和国政府信息公开条例》（2019年4月3日中华人民共和国国务院令第711号），《律师事务所管理办法》(2018年12月5日中华人民共和国司法部令第133号)，《律师执业管理办法》(2018年12月5日中华人民共和国司法部令第134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10</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5" w:hRule="atLeast"/>
          <w:jc w:val="center"/>
        </w:trPr>
        <w:tc>
          <w:tcPr>
            <w:tcW w:w="540" w:type="dxa"/>
            <w:noWrap w:val="0"/>
            <w:vAlign w:val="center"/>
          </w:tcPr>
          <w:p>
            <w:pPr>
              <w:widowControl/>
              <w:jc w:val="center"/>
              <w:textAlignment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val="en-US" w:eastAsia="zh-CN"/>
              </w:rPr>
              <w:t>15</w:t>
            </w:r>
          </w:p>
        </w:tc>
        <w:tc>
          <w:tcPr>
            <w:tcW w:w="1108" w:type="dxa"/>
            <w:vMerge w:val="continue"/>
            <w:noWrap w:val="0"/>
            <w:vAlign w:val="center"/>
          </w:tcPr>
          <w:p>
            <w:pPr>
              <w:jc w:val="center"/>
              <w:rPr>
                <w:rFonts w:hint="eastAsia" w:ascii="仿宋_GB2312" w:hAnsi="宋体" w:eastAsia="仿宋_GB2312" w:cstheme="minorBidi"/>
                <w:color w:val="auto"/>
                <w:kern w:val="2"/>
                <w:sz w:val="18"/>
                <w:szCs w:val="18"/>
                <w:lang w:val="en-US" w:eastAsia="zh-CN" w:bidi="ar-SA"/>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rPr>
              <w:t>对基层法律服务所、基层法律服务工作者进行表彰奖励</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rPr>
              <w:t>表彰决定</w:t>
            </w:r>
          </w:p>
        </w:tc>
        <w:tc>
          <w:tcPr>
            <w:tcW w:w="2948"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《中华人民共和国政府信息公开条例》（2019年4月3日中华人民共和国国务院令第711号），</w:t>
            </w:r>
            <w:r>
              <w:rPr>
                <w:rFonts w:hint="eastAsia" w:ascii="仿宋_GB2312" w:hAnsi="宋体" w:eastAsia="仿宋_GB2312"/>
                <w:color w:val="auto"/>
                <w:sz w:val="18"/>
                <w:szCs w:val="18"/>
              </w:rPr>
              <w:t>《基层法律服务所管理办法》</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2000年3月30日</w:t>
            </w:r>
            <w:r>
              <w:rPr>
                <w:rFonts w:hint="eastAsia" w:ascii="仿宋_GB2312" w:hAnsi="宋体" w:eastAsia="仿宋_GB2312"/>
                <w:color w:val="auto"/>
                <w:sz w:val="18"/>
                <w:szCs w:val="18"/>
                <w:lang w:eastAsia="zh-CN"/>
              </w:rPr>
              <w:t>中华人民共和国</w:t>
            </w:r>
            <w:r>
              <w:rPr>
                <w:rFonts w:hint="eastAsia" w:ascii="仿宋_GB2312" w:hAnsi="宋体" w:eastAsia="仿宋_GB2312"/>
                <w:color w:val="auto"/>
                <w:sz w:val="18"/>
                <w:szCs w:val="18"/>
              </w:rPr>
              <w:t>司法部令第59号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《基层法律服务工作者管理办法》</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2000年3月30日</w:t>
            </w:r>
            <w:r>
              <w:rPr>
                <w:rFonts w:hint="eastAsia" w:ascii="仿宋_GB2312" w:hAnsi="宋体" w:eastAsia="仿宋_GB2312"/>
                <w:color w:val="auto"/>
                <w:sz w:val="18"/>
                <w:szCs w:val="18"/>
                <w:lang w:eastAsia="zh-CN"/>
              </w:rPr>
              <w:t>中华人民共和国</w:t>
            </w:r>
            <w:r>
              <w:rPr>
                <w:rFonts w:hint="eastAsia" w:ascii="仿宋_GB2312" w:hAnsi="宋体" w:eastAsia="仿宋_GB2312"/>
                <w:color w:val="auto"/>
                <w:sz w:val="18"/>
                <w:szCs w:val="18"/>
              </w:rPr>
              <w:t>司法部令第</w:t>
            </w:r>
            <w:r>
              <w:rPr>
                <w:rFonts w:hint="eastAsia" w:ascii="仿宋_GB2312" w:hAnsi="宋体" w:eastAsia="仿宋_GB2312"/>
                <w:color w:val="auto"/>
                <w:sz w:val="18"/>
                <w:szCs w:val="18"/>
                <w:lang w:val="en-US" w:eastAsia="zh-CN"/>
              </w:rPr>
              <w:t>60</w:t>
            </w:r>
            <w:r>
              <w:rPr>
                <w:rFonts w:hint="eastAsia" w:ascii="仿宋_GB2312" w:hAnsi="宋体" w:eastAsia="仿宋_GB2312"/>
                <w:color w:val="auto"/>
                <w:sz w:val="18"/>
                <w:szCs w:val="18"/>
              </w:rPr>
              <w:t>号</w:t>
            </w:r>
            <w:r>
              <w:rPr>
                <w:rFonts w:hint="eastAsia" w:ascii="仿宋_GB2312" w:hAnsi="宋体" w:eastAsia="仿宋_GB2312"/>
                <w:color w:val="auto"/>
                <w:sz w:val="18"/>
                <w:szCs w:val="18"/>
                <w:lang w:eastAsia="zh-CN"/>
              </w:rPr>
              <w:t>）</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10</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政府网站、微信公众号</w:t>
            </w:r>
          </w:p>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其他载体</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stheme="minorBidi"/>
                <w:color w:val="auto"/>
                <w:kern w:val="2"/>
                <w:sz w:val="18"/>
                <w:szCs w:val="18"/>
                <w:lang w:val="en-US" w:eastAsia="zh-CN" w:bidi="ar-SA"/>
              </w:rPr>
            </w:pPr>
          </w:p>
        </w:tc>
        <w:tc>
          <w:tcPr>
            <w:tcW w:w="1112" w:type="dxa"/>
            <w:noWrap w:val="0"/>
            <w:vAlign w:val="center"/>
          </w:tcPr>
          <w:p>
            <w:pPr>
              <w:jc w:val="center"/>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8"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16</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行政处罚</w:t>
            </w: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对公证机构、公证员违法违规行为的处罚</w:t>
            </w:r>
          </w:p>
        </w:tc>
        <w:tc>
          <w:tcPr>
            <w:tcW w:w="1461" w:type="dxa"/>
            <w:noWrap w:val="0"/>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《中华人民共和国公证法》（</w:t>
            </w:r>
            <w:r>
              <w:rPr>
                <w:rFonts w:hint="eastAsia" w:ascii="仿宋_GB2312" w:hAnsi="宋体" w:eastAsia="仿宋_GB2312"/>
                <w:color w:val="auto"/>
                <w:sz w:val="18"/>
                <w:szCs w:val="18"/>
                <w:lang w:val="en-US" w:eastAsia="zh-CN"/>
              </w:rPr>
              <w:t>2017年9月1日</w:t>
            </w:r>
            <w:r>
              <w:rPr>
                <w:rFonts w:hint="eastAsia" w:ascii="仿宋_GB2312" w:hAnsi="宋体" w:eastAsia="仿宋_GB2312"/>
                <w:color w:val="auto"/>
                <w:sz w:val="18"/>
                <w:szCs w:val="18"/>
                <w:lang w:eastAsia="zh-CN"/>
              </w:rPr>
              <w:t>中华人民共和国主席令第76号），《中华人民共和国政府信息公开条例》（2019年4月3日中华人民共和国国务院令第711号），《公证机构执业管理办法》（</w:t>
            </w:r>
            <w:r>
              <w:rPr>
                <w:rFonts w:hint="eastAsia" w:ascii="仿宋_GB2312" w:hAnsi="宋体" w:eastAsia="仿宋_GB2312"/>
                <w:color w:val="auto"/>
                <w:sz w:val="18"/>
                <w:szCs w:val="18"/>
                <w:lang w:val="en-US" w:eastAsia="zh-CN"/>
              </w:rPr>
              <w:t>2006年2月23日中华人民共和国司法部令第101号</w:t>
            </w:r>
            <w:r>
              <w:rPr>
                <w:rFonts w:hint="eastAsia" w:ascii="仿宋_GB2312" w:hAnsi="宋体" w:eastAsia="仿宋_GB2312"/>
                <w:color w:val="auto"/>
                <w:sz w:val="18"/>
                <w:szCs w:val="18"/>
                <w:lang w:eastAsia="zh-CN"/>
              </w:rPr>
              <w:t>），《公证员执业管理办法》（</w:t>
            </w:r>
            <w:r>
              <w:rPr>
                <w:rFonts w:hint="eastAsia" w:ascii="仿宋_GB2312" w:hAnsi="宋体" w:eastAsia="仿宋_GB2312"/>
                <w:color w:val="auto"/>
                <w:sz w:val="18"/>
                <w:szCs w:val="18"/>
                <w:lang w:val="en-US" w:eastAsia="zh-CN"/>
              </w:rPr>
              <w:t>2006年3月14日中华人民共和国司法部令第102号</w:t>
            </w:r>
            <w:r>
              <w:rPr>
                <w:rFonts w:hint="eastAsia" w:ascii="仿宋_GB2312" w:hAnsi="宋体" w:eastAsia="仿宋_GB2312"/>
                <w:color w:val="auto"/>
                <w:sz w:val="18"/>
                <w:szCs w:val="18"/>
                <w:lang w:eastAsia="zh-CN"/>
              </w:rPr>
              <w:t>）</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17</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对基层法律服务所、基层法律服务工作者违法违规行为的处罚</w:t>
            </w:r>
          </w:p>
        </w:tc>
        <w:tc>
          <w:tcPr>
            <w:tcW w:w="1461" w:type="dxa"/>
            <w:noWrap w:val="0"/>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00" w:lineRule="exact"/>
              <w:jc w:val="center"/>
              <w:textAlignment w:val="auto"/>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《中华人民共和国政府信息公开条例》（2019年4月3日中华人民共和国国务院令第711号），</w:t>
            </w:r>
            <w:r>
              <w:rPr>
                <w:rFonts w:hint="eastAsia" w:ascii="仿宋_GB2312" w:hAnsi="宋体" w:eastAsia="仿宋_GB2312"/>
                <w:color w:val="auto"/>
                <w:sz w:val="18"/>
                <w:szCs w:val="18"/>
              </w:rPr>
              <w:t>《基层法律服务所管理办法》</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2000年3月30日</w:t>
            </w:r>
            <w:r>
              <w:rPr>
                <w:rFonts w:hint="eastAsia" w:ascii="仿宋_GB2312" w:hAnsi="宋体" w:eastAsia="仿宋_GB2312"/>
                <w:color w:val="auto"/>
                <w:sz w:val="18"/>
                <w:szCs w:val="18"/>
                <w:lang w:eastAsia="zh-CN"/>
              </w:rPr>
              <w:t>中华人民共和国</w:t>
            </w:r>
            <w:r>
              <w:rPr>
                <w:rFonts w:hint="eastAsia" w:ascii="仿宋_GB2312" w:hAnsi="宋体" w:eastAsia="仿宋_GB2312"/>
                <w:color w:val="auto"/>
                <w:sz w:val="18"/>
                <w:szCs w:val="18"/>
              </w:rPr>
              <w:t>司法部令第59号</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《基层法律服务工作者管理办法》</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2000年3月30日</w:t>
            </w:r>
            <w:r>
              <w:rPr>
                <w:rFonts w:hint="eastAsia" w:ascii="仿宋_GB2312" w:hAnsi="宋体" w:eastAsia="仿宋_GB2312"/>
                <w:color w:val="auto"/>
                <w:sz w:val="18"/>
                <w:szCs w:val="18"/>
                <w:lang w:eastAsia="zh-CN"/>
              </w:rPr>
              <w:t>中华人民共和国</w:t>
            </w:r>
            <w:r>
              <w:rPr>
                <w:rFonts w:hint="eastAsia" w:ascii="仿宋_GB2312" w:hAnsi="宋体" w:eastAsia="仿宋_GB2312"/>
                <w:color w:val="auto"/>
                <w:sz w:val="18"/>
                <w:szCs w:val="18"/>
              </w:rPr>
              <w:t>司法部令第</w:t>
            </w:r>
            <w:r>
              <w:rPr>
                <w:rFonts w:hint="eastAsia" w:ascii="仿宋_GB2312" w:hAnsi="宋体" w:eastAsia="仿宋_GB2312"/>
                <w:color w:val="auto"/>
                <w:sz w:val="18"/>
                <w:szCs w:val="18"/>
                <w:lang w:val="en-US" w:eastAsia="zh-CN"/>
              </w:rPr>
              <w:t>60</w:t>
            </w:r>
            <w:r>
              <w:rPr>
                <w:rFonts w:hint="eastAsia" w:ascii="仿宋_GB2312" w:hAnsi="宋体" w:eastAsia="仿宋_GB2312"/>
                <w:color w:val="auto"/>
                <w:sz w:val="18"/>
                <w:szCs w:val="18"/>
              </w:rPr>
              <w:t>号</w:t>
            </w:r>
            <w:r>
              <w:rPr>
                <w:rFonts w:hint="eastAsia" w:ascii="仿宋_GB2312" w:hAnsi="宋体" w:eastAsia="仿宋_GB2312"/>
                <w:color w:val="auto"/>
                <w:sz w:val="18"/>
                <w:szCs w:val="18"/>
                <w:lang w:eastAsia="zh-CN"/>
              </w:rPr>
              <w:t>）</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1"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18</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对司法鉴定机构、司法鉴定人违法违规行为的处罚</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《全国人民代表大会常务委员会关于司法鉴定管理问题的决定》（</w:t>
            </w:r>
            <w:r>
              <w:rPr>
                <w:rFonts w:hint="eastAsia" w:ascii="仿宋_GB2312" w:hAnsi="宋体" w:eastAsia="仿宋_GB2312"/>
                <w:color w:val="auto"/>
                <w:sz w:val="18"/>
                <w:szCs w:val="18"/>
                <w:lang w:val="en-US" w:eastAsia="zh-CN"/>
              </w:rPr>
              <w:t>2015年4月24日</w:t>
            </w:r>
            <w:r>
              <w:rPr>
                <w:rFonts w:hint="eastAsia" w:ascii="仿宋_GB2312" w:hAnsi="宋体" w:eastAsia="仿宋_GB2312"/>
                <w:color w:val="auto"/>
                <w:sz w:val="18"/>
                <w:szCs w:val="18"/>
                <w:lang w:eastAsia="zh-CN"/>
              </w:rPr>
              <w:t>中华人民共和国主席令第25号），《中华人民共和国政府信息公开条例》（2019年4月3日中华人民共和国国务院令第711号），《司法鉴定机构登记管理办法》（</w:t>
            </w:r>
            <w:r>
              <w:rPr>
                <w:rFonts w:hint="eastAsia" w:ascii="仿宋_GB2312" w:hAnsi="宋体" w:eastAsia="仿宋_GB2312"/>
                <w:color w:val="auto"/>
                <w:sz w:val="18"/>
                <w:szCs w:val="18"/>
                <w:lang w:val="en-US" w:eastAsia="zh-CN"/>
              </w:rPr>
              <w:t>2005年9月29日中华人民共和国司法部令第95号</w:t>
            </w:r>
            <w:r>
              <w:rPr>
                <w:rFonts w:hint="eastAsia" w:ascii="仿宋_GB2312" w:hAnsi="宋体" w:eastAsia="仿宋_GB2312"/>
                <w:color w:val="auto"/>
                <w:sz w:val="18"/>
                <w:szCs w:val="18"/>
                <w:lang w:eastAsia="zh-CN"/>
              </w:rPr>
              <w:t>），《司法鉴定人登记管理办法》（</w:t>
            </w:r>
            <w:r>
              <w:rPr>
                <w:rFonts w:hint="eastAsia" w:ascii="仿宋_GB2312" w:hAnsi="宋体" w:eastAsia="仿宋_GB2312"/>
                <w:color w:val="auto"/>
                <w:sz w:val="18"/>
                <w:szCs w:val="18"/>
                <w:lang w:val="en-US" w:eastAsia="zh-CN"/>
              </w:rPr>
              <w:t>2005年9月29日中华人民共和国司法部令第96号</w:t>
            </w:r>
            <w:r>
              <w:rPr>
                <w:rFonts w:hint="eastAsia" w:ascii="仿宋_GB2312" w:hAnsi="宋体" w:eastAsia="仿宋_GB2312"/>
                <w:color w:val="auto"/>
                <w:sz w:val="18"/>
                <w:szCs w:val="18"/>
                <w:lang w:eastAsia="zh-CN"/>
              </w:rPr>
              <w:t>）</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19</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对律师事务所、律师违法违规行为的处罚</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stheme="minorBidi"/>
                <w:color w:val="auto"/>
                <w:kern w:val="2"/>
                <w:sz w:val="18"/>
                <w:szCs w:val="18"/>
                <w:lang w:val="en-US" w:eastAsia="zh-CN" w:bidi="ar-SA"/>
              </w:rPr>
              <w:t>《中华人民共和国政府信息公开条例》（2019年4月3日中华人民共和国国务院令第711号），《律师事务所管理办法》(2018年12月5日中华人民共和国司法部令第133号)，《律师执业管理办法》(2018年12月5日中华人民共和国司法部令第134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8"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20</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对没有取得律师执业证书以律师名义从事法律业务行为的处罚</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宋体" w:eastAsia="仿宋_GB2312"/>
                <w:color w:val="auto"/>
                <w:sz w:val="18"/>
                <w:szCs w:val="18"/>
                <w:lang w:eastAsia="zh-CN"/>
              </w:rPr>
            </w:pPr>
            <w:r>
              <w:rPr>
                <w:rFonts w:hint="eastAsia" w:ascii="仿宋_GB2312" w:hAnsi="宋体" w:eastAsia="仿宋_GB2312" w:cstheme="minorBidi"/>
                <w:color w:val="auto"/>
                <w:kern w:val="2"/>
                <w:sz w:val="18"/>
                <w:szCs w:val="18"/>
                <w:lang w:val="en-US" w:eastAsia="zh-CN" w:bidi="ar-SA"/>
              </w:rPr>
              <w:t>《中华人民共和国律师法》（2007年10月28日中华人民共和国主席令第76号，2017年修正），《中华人民共和国政府信息公开条例》（2019年4月3日中华人民共和国国务院令第711号）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4"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21</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对律师事务所拒绝法律援助机构指派，不安排本所律师办理法律援助案件、律师无正当理由拒绝接受、擅自终止法律援助案件或办理法律援助案件收取财物的处罚</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行政处罚决定或行政处罚决定书</w:t>
            </w:r>
          </w:p>
        </w:tc>
        <w:tc>
          <w:tcPr>
            <w:tcW w:w="294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宋体" w:eastAsia="仿宋_GB2312" w:cstheme="minorBidi"/>
                <w:color w:val="auto"/>
                <w:kern w:val="2"/>
                <w:sz w:val="18"/>
                <w:szCs w:val="18"/>
                <w:lang w:val="en-US" w:eastAsia="zh-CN" w:bidi="ar-SA"/>
              </w:rPr>
            </w:pPr>
            <w:r>
              <w:rPr>
                <w:rFonts w:hint="eastAsia" w:ascii="仿宋_GB2312" w:hAnsi="宋体" w:eastAsia="仿宋_GB2312"/>
                <w:color w:val="auto"/>
                <w:sz w:val="18"/>
                <w:szCs w:val="18"/>
                <w:lang w:eastAsia="zh-CN"/>
              </w:rPr>
              <w:t>《中华人民共和国法律援助条例》（2003年7月21日国务院令第385号），《江西省法律援助条例》（</w:t>
            </w:r>
            <w:r>
              <w:rPr>
                <w:rFonts w:hint="eastAsia" w:ascii="仿宋_GB2312" w:hAnsi="宋体" w:eastAsia="仿宋_GB2312"/>
                <w:color w:val="auto"/>
                <w:sz w:val="18"/>
                <w:szCs w:val="18"/>
                <w:lang w:val="en-US" w:eastAsia="zh-CN"/>
              </w:rPr>
              <w:t>2013年11月29日</w:t>
            </w:r>
            <w:r>
              <w:rPr>
                <w:rFonts w:hint="eastAsia" w:ascii="仿宋_GB2312" w:hAnsi="宋体" w:eastAsia="仿宋_GB2312"/>
                <w:color w:val="auto"/>
                <w:sz w:val="18"/>
                <w:szCs w:val="18"/>
                <w:lang w:eastAsia="zh-CN"/>
              </w:rPr>
              <w:t>江西省人民代表大会常务委员会公告第23号）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left"/>
              <w:textAlignment w:val="center"/>
              <w:rPr>
                <w:rFonts w:hint="eastAsia" w:ascii="仿宋_GB2312" w:hAnsi="宋体" w:eastAsia="仿宋_GB2312"/>
                <w:color w:val="auto"/>
                <w:sz w:val="18"/>
                <w:szCs w:val="18"/>
                <w:lang w:eastAsia="zh-CN"/>
              </w:rPr>
            </w:pPr>
            <w:r>
              <w:rPr>
                <w:rFonts w:ascii="仿宋_GB2312" w:hAnsi="宋体" w:eastAsia="仿宋_GB2312"/>
                <w:color w:val="auto"/>
                <w:sz w:val="18"/>
                <w:szCs w:val="18"/>
              </w:rPr>
              <w:t>■</w:t>
            </w:r>
            <w:r>
              <w:rPr>
                <w:rFonts w:hint="eastAsia" w:ascii="仿宋_GB2312" w:hAnsi="宋体" w:eastAsia="仿宋_GB2312"/>
                <w:color w:val="auto"/>
                <w:sz w:val="18"/>
                <w:szCs w:val="18"/>
                <w:lang w:eastAsia="zh-CN"/>
              </w:rPr>
              <w:t>政府网站</w:t>
            </w:r>
          </w:p>
          <w:p>
            <w:pPr>
              <w:keepNext w:val="0"/>
              <w:keepLines w:val="0"/>
              <w:pageBreakBefore w:val="0"/>
              <w:widowControl/>
              <w:kinsoku/>
              <w:wordWrap/>
              <w:overflowPunct/>
              <w:topLinePunct w:val="0"/>
              <w:autoSpaceDE/>
              <w:autoSpaceDN/>
              <w:bidi w:val="0"/>
              <w:adjustRightInd/>
              <w:spacing w:line="320" w:lineRule="exact"/>
              <w:jc w:val="center"/>
              <w:textAlignment w:val="center"/>
              <w:rPr>
                <w:rFonts w:ascii="仿宋_GB2312" w:hAnsi="宋体" w:eastAsia="仿宋_GB2312"/>
                <w:color w:val="auto"/>
                <w:sz w:val="18"/>
                <w:szCs w:val="18"/>
              </w:rPr>
            </w:pP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val="en-US" w:eastAsia="zh-CN"/>
              </w:rPr>
              <w:t>全社会</w:t>
            </w:r>
          </w:p>
        </w:tc>
        <w:tc>
          <w:tcPr>
            <w:tcW w:w="1126" w:type="dxa"/>
            <w:noWrap w:val="0"/>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0"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22</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行政</w:t>
            </w:r>
          </w:p>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给付</w:t>
            </w: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法律援助办案人员办案补贴的审核发放</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补贴发放情况</w:t>
            </w:r>
          </w:p>
        </w:tc>
        <w:tc>
          <w:tcPr>
            <w:tcW w:w="2948"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《中华人民共和国法律援助条例》（2003年7月21日国务院令第385号），《中华人民共和国政府信息公开条例》（2019年4月3日中华人民共和国国务院令第711号），《江西省法律援助条例》（</w:t>
            </w:r>
            <w:r>
              <w:rPr>
                <w:rFonts w:hint="eastAsia" w:ascii="仿宋_GB2312" w:hAnsi="宋体" w:eastAsia="仿宋_GB2312"/>
                <w:color w:val="auto"/>
                <w:sz w:val="18"/>
                <w:szCs w:val="18"/>
                <w:lang w:val="en-US" w:eastAsia="zh-CN"/>
              </w:rPr>
              <w:t>2013年11月29日</w:t>
            </w:r>
            <w:r>
              <w:rPr>
                <w:rFonts w:hint="eastAsia" w:ascii="仿宋_GB2312" w:hAnsi="宋体" w:eastAsia="仿宋_GB2312"/>
                <w:color w:val="auto"/>
                <w:sz w:val="18"/>
                <w:szCs w:val="18"/>
                <w:lang w:eastAsia="zh-CN"/>
              </w:rPr>
              <w:t>江西省人民代表大会常务委员会公告第23号）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自收到公开申请之日起</w:t>
            </w:r>
            <w:r>
              <w:rPr>
                <w:rFonts w:hint="eastAsia" w:ascii="仿宋_GB2312" w:hAnsi="宋体" w:eastAsia="仿宋_GB2312"/>
                <w:color w:val="auto"/>
                <w:sz w:val="18"/>
                <w:szCs w:val="18"/>
                <w:lang w:val="en-US" w:eastAsia="zh-CN"/>
              </w:rPr>
              <w:t>20</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keepNext w:val="0"/>
              <w:keepLines w:val="0"/>
              <w:pageBreakBefore w:val="0"/>
              <w:widowControl/>
              <w:kinsoku/>
              <w:wordWrap/>
              <w:overflowPunct/>
              <w:topLinePunct w:val="0"/>
              <w:autoSpaceDE/>
              <w:autoSpaceDN/>
              <w:bidi w:val="0"/>
              <w:adjustRightInd/>
              <w:spacing w:line="320" w:lineRule="exact"/>
              <w:jc w:val="both"/>
              <w:textAlignment w:val="center"/>
              <w:rPr>
                <w:rFonts w:ascii="仿宋_GB2312" w:hAnsi="宋体" w:eastAsia="仿宋_GB2312"/>
                <w:color w:val="auto"/>
                <w:sz w:val="18"/>
                <w:szCs w:val="18"/>
              </w:rPr>
            </w:pPr>
            <w:r>
              <w:rPr>
                <w:rFonts w:ascii="仿宋_GB2312" w:hAnsi="宋体" w:eastAsia="仿宋_GB2312"/>
                <w:color w:val="auto"/>
                <w:sz w:val="18"/>
                <w:szCs w:val="18"/>
              </w:rPr>
              <w:t>■精准推送</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申请人</w:t>
            </w:r>
          </w:p>
        </w:tc>
        <w:tc>
          <w:tcPr>
            <w:tcW w:w="1126" w:type="dxa"/>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23</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人民调解员补贴发放</w:t>
            </w:r>
          </w:p>
        </w:tc>
        <w:tc>
          <w:tcPr>
            <w:tcW w:w="1461" w:type="dxa"/>
            <w:noWrap w:val="0"/>
            <w:vAlign w:val="center"/>
          </w:tcPr>
          <w:p>
            <w:pPr>
              <w:keepNext w:val="0"/>
              <w:keepLines w:val="0"/>
              <w:pageBreakBefore w:val="0"/>
              <w:tabs>
                <w:tab w:val="center" w:pos="4153"/>
                <w:tab w:val="right" w:pos="8306"/>
              </w:tabs>
              <w:kinsoku/>
              <w:wordWrap/>
              <w:overflowPunct/>
              <w:topLinePunct w:val="0"/>
              <w:autoSpaceDE/>
              <w:autoSpaceDN/>
              <w:bidi w:val="0"/>
              <w:adjustRightInd/>
              <w:snapToGrid w:val="0"/>
              <w:spacing w:line="320" w:lineRule="exact"/>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补贴发放情况</w:t>
            </w:r>
          </w:p>
        </w:tc>
        <w:tc>
          <w:tcPr>
            <w:tcW w:w="2948"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《中华人民共和国调解法》（</w:t>
            </w:r>
            <w:r>
              <w:rPr>
                <w:rFonts w:hint="eastAsia" w:ascii="仿宋_GB2312" w:hAnsi="宋体" w:eastAsia="仿宋_GB2312"/>
                <w:color w:val="auto"/>
                <w:sz w:val="18"/>
                <w:szCs w:val="18"/>
                <w:lang w:val="en-US" w:eastAsia="zh-CN"/>
              </w:rPr>
              <w:t>2010年8月28日</w:t>
            </w:r>
            <w:r>
              <w:rPr>
                <w:rFonts w:hint="eastAsia" w:ascii="仿宋_GB2312" w:hAnsi="宋体" w:eastAsia="仿宋_GB2312"/>
                <w:color w:val="auto"/>
                <w:sz w:val="18"/>
                <w:szCs w:val="18"/>
                <w:lang w:eastAsia="zh-CN"/>
              </w:rPr>
              <w:t>中华人民共和国主席令第</w:t>
            </w:r>
            <w:r>
              <w:rPr>
                <w:rFonts w:hint="eastAsia" w:ascii="仿宋_GB2312" w:hAnsi="宋体" w:eastAsia="仿宋_GB2312"/>
                <w:color w:val="auto"/>
                <w:sz w:val="18"/>
                <w:szCs w:val="18"/>
                <w:lang w:val="en-US" w:eastAsia="zh-CN"/>
              </w:rPr>
              <w:t>34</w:t>
            </w:r>
            <w:r>
              <w:rPr>
                <w:rFonts w:hint="eastAsia" w:ascii="仿宋_GB2312" w:hAnsi="宋体" w:eastAsia="仿宋_GB2312"/>
                <w:color w:val="auto"/>
                <w:sz w:val="18"/>
                <w:szCs w:val="18"/>
                <w:lang w:eastAsia="zh-CN"/>
              </w:rPr>
              <w:t>号），《中华人民共和国政府信息公开条例》（2019年4月3日中华人民共和国国务院令第711号）</w:t>
            </w:r>
          </w:p>
        </w:tc>
        <w:tc>
          <w:tcPr>
            <w:tcW w:w="1291" w:type="dxa"/>
            <w:noWrap w:val="0"/>
            <w:vAlign w:val="center"/>
          </w:tcPr>
          <w:p>
            <w:pPr>
              <w:keepNext w:val="0"/>
              <w:keepLines w:val="0"/>
              <w:pageBreakBefore w:val="0"/>
              <w:kinsoku/>
              <w:wordWrap/>
              <w:overflowPunct/>
              <w:topLinePunct w:val="0"/>
              <w:autoSpaceDE/>
              <w:autoSpaceDN/>
              <w:bidi w:val="0"/>
              <w:adjustRightInd/>
              <w:spacing w:line="320" w:lineRule="exact"/>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自收到公开申请之日起</w:t>
            </w:r>
            <w:r>
              <w:rPr>
                <w:rFonts w:hint="eastAsia" w:ascii="仿宋_GB2312" w:hAnsi="宋体" w:eastAsia="仿宋_GB2312"/>
                <w:color w:val="auto"/>
                <w:sz w:val="18"/>
                <w:szCs w:val="18"/>
                <w:lang w:val="en-US" w:eastAsia="zh-CN"/>
              </w:rPr>
              <w:t>20</w:t>
            </w:r>
            <w:r>
              <w:rPr>
                <w:rFonts w:hint="eastAsia" w:ascii="仿宋_GB2312" w:hAnsi="宋体" w:eastAsia="仿宋_GB2312"/>
                <w:color w:val="auto"/>
                <w:sz w:val="18"/>
                <w:szCs w:val="18"/>
              </w:rPr>
              <w:t>个工作日内公开</w:t>
            </w:r>
          </w:p>
        </w:tc>
        <w:tc>
          <w:tcPr>
            <w:tcW w:w="1004" w:type="dxa"/>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司法行政部门</w:t>
            </w:r>
          </w:p>
        </w:tc>
        <w:tc>
          <w:tcPr>
            <w:tcW w:w="2596" w:type="dxa"/>
            <w:noWrap w:val="0"/>
            <w:vAlign w:val="center"/>
          </w:tcPr>
          <w:p>
            <w:pPr>
              <w:keepNext w:val="0"/>
              <w:keepLines w:val="0"/>
              <w:pageBreakBefore w:val="0"/>
              <w:widowControl/>
              <w:kinsoku/>
              <w:wordWrap/>
              <w:overflowPunct/>
              <w:topLinePunct w:val="0"/>
              <w:autoSpaceDE/>
              <w:autoSpaceDN/>
              <w:bidi w:val="0"/>
              <w:adjustRightInd/>
              <w:spacing w:line="320" w:lineRule="exact"/>
              <w:jc w:val="both"/>
              <w:textAlignment w:val="center"/>
              <w:rPr>
                <w:rFonts w:ascii="仿宋_GB2312" w:hAnsi="宋体" w:eastAsia="仿宋_GB2312"/>
                <w:color w:val="auto"/>
                <w:sz w:val="18"/>
                <w:szCs w:val="18"/>
              </w:rPr>
            </w:pPr>
            <w:r>
              <w:rPr>
                <w:rFonts w:ascii="仿宋_GB2312" w:hAnsi="宋体" w:eastAsia="仿宋_GB2312"/>
                <w:color w:val="auto"/>
                <w:sz w:val="18"/>
                <w:szCs w:val="18"/>
              </w:rPr>
              <w:t>■精准推送</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申请人</w:t>
            </w:r>
          </w:p>
        </w:tc>
        <w:tc>
          <w:tcPr>
            <w:tcW w:w="1126"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24</w:t>
            </w:r>
          </w:p>
        </w:tc>
        <w:tc>
          <w:tcPr>
            <w:tcW w:w="1108" w:type="dxa"/>
            <w:vMerge w:val="restart"/>
            <w:noWrap w:val="0"/>
            <w:vAlign w:val="center"/>
          </w:tcPr>
          <w:p>
            <w:pPr>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其他行政权力</w:t>
            </w:r>
          </w:p>
        </w:tc>
        <w:tc>
          <w:tcPr>
            <w:tcW w:w="120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对法律援助机构不予援助决定异议的审查</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处理决定书</w:t>
            </w:r>
          </w:p>
        </w:tc>
        <w:tc>
          <w:tcPr>
            <w:tcW w:w="294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《中华人民共和国法律援助条例》（2003年7月21日国务院令第385号），《中华人民共和国政府信息公开条例》（2019年4月3日中华人民共和国国务院令第711号），《江西省法律援助条例》（</w:t>
            </w:r>
            <w:r>
              <w:rPr>
                <w:rFonts w:hint="eastAsia" w:ascii="仿宋_GB2312" w:hAnsi="宋体" w:eastAsia="仿宋_GB2312"/>
                <w:color w:val="auto"/>
                <w:sz w:val="18"/>
                <w:szCs w:val="18"/>
                <w:lang w:val="en-US" w:eastAsia="zh-CN"/>
              </w:rPr>
              <w:t>2013年11月29日</w:t>
            </w:r>
            <w:r>
              <w:rPr>
                <w:rFonts w:hint="eastAsia" w:ascii="仿宋_GB2312" w:hAnsi="宋体" w:eastAsia="仿宋_GB2312"/>
                <w:color w:val="auto"/>
                <w:sz w:val="18"/>
                <w:szCs w:val="18"/>
                <w:lang w:eastAsia="zh-CN"/>
              </w:rPr>
              <w:t>江西省人民代表大会常务委员会公告第23号）</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自收到公开申请之日起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widowControl/>
              <w:jc w:val="center"/>
              <w:textAlignment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both"/>
              <w:textAlignment w:val="center"/>
              <w:rPr>
                <w:rFonts w:ascii="仿宋_GB2312" w:hAnsi="宋体" w:eastAsia="仿宋_GB2312"/>
                <w:color w:val="auto"/>
                <w:sz w:val="18"/>
                <w:szCs w:val="18"/>
              </w:rPr>
            </w:pPr>
            <w:r>
              <w:rPr>
                <w:rFonts w:ascii="仿宋_GB2312" w:hAnsi="宋体" w:eastAsia="仿宋_GB2312"/>
                <w:color w:val="auto"/>
                <w:sz w:val="18"/>
                <w:szCs w:val="18"/>
              </w:rPr>
              <w:t>■精准推送</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申请人</w:t>
            </w:r>
          </w:p>
        </w:tc>
        <w:tc>
          <w:tcPr>
            <w:tcW w:w="1126"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jc w:val="center"/>
        </w:trPr>
        <w:tc>
          <w:tcPr>
            <w:tcW w:w="540" w:type="dxa"/>
            <w:noWrap w:val="0"/>
            <w:vAlign w:val="center"/>
          </w:tcPr>
          <w:p>
            <w:pPr>
              <w:widowControl/>
              <w:jc w:val="center"/>
              <w:textAlignment w:val="center"/>
              <w:rPr>
                <w:rFonts w:hint="default" w:ascii="仿宋_GB2312" w:hAnsi="宋体" w:eastAsia="仿宋_GB2312"/>
                <w:color w:val="auto"/>
                <w:sz w:val="18"/>
                <w:szCs w:val="18"/>
                <w:lang w:val="en-US" w:eastAsia="zh-CN"/>
              </w:rPr>
            </w:pPr>
            <w:r>
              <w:rPr>
                <w:rFonts w:hint="eastAsia" w:ascii="仿宋_GB2312" w:hAnsi="宋体" w:eastAsia="仿宋_GB2312"/>
                <w:color w:val="auto"/>
                <w:sz w:val="18"/>
                <w:szCs w:val="18"/>
                <w:lang w:val="en-US" w:eastAsia="zh-CN"/>
              </w:rPr>
              <w:t>25</w:t>
            </w:r>
          </w:p>
        </w:tc>
        <w:tc>
          <w:tcPr>
            <w:tcW w:w="1108" w:type="dxa"/>
            <w:vMerge w:val="continue"/>
            <w:noWrap w:val="0"/>
            <w:vAlign w:val="center"/>
          </w:tcPr>
          <w:p>
            <w:pPr>
              <w:jc w:val="center"/>
              <w:rPr>
                <w:rFonts w:hint="eastAsia" w:ascii="仿宋_GB2312" w:hAnsi="宋体" w:eastAsia="仿宋_GB2312"/>
                <w:color w:val="auto"/>
                <w:sz w:val="18"/>
                <w:szCs w:val="18"/>
                <w:lang w:eastAsia="zh-CN"/>
              </w:rPr>
            </w:pPr>
          </w:p>
        </w:tc>
        <w:tc>
          <w:tcPr>
            <w:tcW w:w="1200" w:type="dxa"/>
            <w:noWrap w:val="0"/>
            <w:vAlign w:val="center"/>
          </w:tcPr>
          <w:p>
            <w:pPr>
              <w:widowControl/>
              <w:jc w:val="center"/>
              <w:textAlignment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lang w:eastAsia="zh-CN"/>
              </w:rPr>
              <w:t>对</w:t>
            </w:r>
            <w:r>
              <w:rPr>
                <w:rFonts w:hint="eastAsia" w:ascii="仿宋_GB2312" w:hAnsi="宋体" w:eastAsia="仿宋_GB2312"/>
                <w:color w:val="auto"/>
                <w:sz w:val="18"/>
                <w:szCs w:val="18"/>
              </w:rPr>
              <w:t>基层法律服务工作者</w:t>
            </w:r>
            <w:r>
              <w:rPr>
                <w:rFonts w:hint="eastAsia" w:ascii="仿宋_GB2312" w:hAnsi="宋体" w:eastAsia="仿宋_GB2312"/>
                <w:color w:val="auto"/>
                <w:sz w:val="18"/>
                <w:szCs w:val="18"/>
                <w:lang w:eastAsia="zh-CN"/>
              </w:rPr>
              <w:t>不予</w:t>
            </w:r>
            <w:r>
              <w:rPr>
                <w:rFonts w:hint="eastAsia" w:ascii="仿宋_GB2312" w:hAnsi="宋体" w:eastAsia="仿宋_GB2312"/>
                <w:color w:val="auto"/>
                <w:sz w:val="18"/>
                <w:szCs w:val="18"/>
              </w:rPr>
              <w:t>执业核准许可</w:t>
            </w:r>
          </w:p>
        </w:tc>
        <w:tc>
          <w:tcPr>
            <w:tcW w:w="1461" w:type="dxa"/>
            <w:noWrap w:val="0"/>
            <w:vAlign w:val="center"/>
          </w:tcPr>
          <w:p>
            <w:pPr>
              <w:tabs>
                <w:tab w:val="center" w:pos="4153"/>
                <w:tab w:val="right" w:pos="8306"/>
              </w:tabs>
              <w:snapToGrid w:val="0"/>
              <w:spacing w:line="360" w:lineRule="auto"/>
              <w:jc w:val="center"/>
              <w:rPr>
                <w:rFonts w:hint="eastAsia" w:ascii="仿宋_GB2312" w:hAnsi="宋体" w:eastAsia="仿宋_GB2312"/>
                <w:color w:val="auto"/>
                <w:sz w:val="18"/>
                <w:szCs w:val="18"/>
                <w:lang w:eastAsia="zh-CN"/>
              </w:rPr>
            </w:pPr>
            <w:r>
              <w:rPr>
                <w:rFonts w:hint="eastAsia" w:ascii="仿宋_GB2312" w:hAnsi="宋体" w:eastAsia="仿宋_GB2312"/>
                <w:color w:val="auto"/>
                <w:sz w:val="18"/>
                <w:szCs w:val="18"/>
              </w:rPr>
              <w:t>不予受理通知书</w:t>
            </w:r>
          </w:p>
        </w:tc>
        <w:tc>
          <w:tcPr>
            <w:tcW w:w="2948"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《中华人民共和国政府信息公开条例》（2019年4月3日中华人民共和国国务院令第711号），</w:t>
            </w:r>
            <w:r>
              <w:rPr>
                <w:rFonts w:hint="eastAsia" w:ascii="仿宋_GB2312" w:hAnsi="宋体" w:eastAsia="仿宋_GB2312"/>
                <w:color w:val="auto"/>
                <w:sz w:val="18"/>
                <w:szCs w:val="18"/>
              </w:rPr>
              <w:t>《基层法律服务工作者管理办法》</w:t>
            </w:r>
            <w:r>
              <w:rPr>
                <w:rFonts w:hint="eastAsia" w:ascii="仿宋_GB2312" w:hAnsi="宋体" w:eastAsia="仿宋_GB2312"/>
                <w:color w:val="auto"/>
                <w:sz w:val="18"/>
                <w:szCs w:val="18"/>
                <w:lang w:eastAsia="zh-CN"/>
              </w:rPr>
              <w:t>（</w:t>
            </w:r>
            <w:r>
              <w:rPr>
                <w:rFonts w:hint="eastAsia" w:ascii="仿宋_GB2312" w:hAnsi="宋体" w:eastAsia="仿宋_GB2312"/>
                <w:color w:val="auto"/>
                <w:sz w:val="18"/>
                <w:szCs w:val="18"/>
              </w:rPr>
              <w:t>2000年3月30日</w:t>
            </w:r>
            <w:r>
              <w:rPr>
                <w:rFonts w:hint="eastAsia" w:ascii="仿宋_GB2312" w:hAnsi="宋体" w:eastAsia="仿宋_GB2312"/>
                <w:color w:val="auto"/>
                <w:sz w:val="18"/>
                <w:szCs w:val="18"/>
                <w:lang w:eastAsia="zh-CN"/>
              </w:rPr>
              <w:t>中华人民共和国</w:t>
            </w:r>
            <w:r>
              <w:rPr>
                <w:rFonts w:hint="eastAsia" w:ascii="仿宋_GB2312" w:hAnsi="宋体" w:eastAsia="仿宋_GB2312"/>
                <w:color w:val="auto"/>
                <w:sz w:val="18"/>
                <w:szCs w:val="18"/>
              </w:rPr>
              <w:t>司法部令第</w:t>
            </w:r>
            <w:r>
              <w:rPr>
                <w:rFonts w:hint="eastAsia" w:ascii="仿宋_GB2312" w:hAnsi="宋体" w:eastAsia="仿宋_GB2312"/>
                <w:color w:val="auto"/>
                <w:sz w:val="18"/>
                <w:szCs w:val="18"/>
                <w:lang w:val="en-US" w:eastAsia="zh-CN"/>
              </w:rPr>
              <w:t>60</w:t>
            </w:r>
            <w:r>
              <w:rPr>
                <w:rFonts w:hint="eastAsia" w:ascii="仿宋_GB2312" w:hAnsi="宋体" w:eastAsia="仿宋_GB2312"/>
                <w:color w:val="auto"/>
                <w:sz w:val="18"/>
                <w:szCs w:val="18"/>
              </w:rPr>
              <w:t>号</w:t>
            </w:r>
            <w:r>
              <w:rPr>
                <w:rFonts w:hint="eastAsia" w:ascii="仿宋_GB2312" w:hAnsi="宋体" w:eastAsia="仿宋_GB2312"/>
                <w:color w:val="auto"/>
                <w:sz w:val="18"/>
                <w:szCs w:val="18"/>
                <w:lang w:eastAsia="zh-CN"/>
              </w:rPr>
              <w:t>）</w:t>
            </w:r>
          </w:p>
        </w:tc>
        <w:tc>
          <w:tcPr>
            <w:tcW w:w="1291"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自制作或获取该信息之日起</w:t>
            </w:r>
            <w:r>
              <w:rPr>
                <w:rFonts w:hint="eastAsia" w:ascii="仿宋_GB2312" w:hAnsi="宋体" w:eastAsia="仿宋_GB2312"/>
                <w:color w:val="auto"/>
                <w:sz w:val="18"/>
                <w:szCs w:val="18"/>
                <w:lang w:val="en-US" w:eastAsia="zh-CN"/>
              </w:rPr>
              <w:t>7</w:t>
            </w:r>
            <w:r>
              <w:rPr>
                <w:rFonts w:hint="eastAsia" w:ascii="仿宋_GB2312" w:hAnsi="宋体" w:eastAsia="仿宋_GB2312"/>
                <w:color w:val="auto"/>
                <w:sz w:val="18"/>
                <w:szCs w:val="18"/>
              </w:rPr>
              <w:t>个工作日内公开</w:t>
            </w:r>
          </w:p>
        </w:tc>
        <w:tc>
          <w:tcPr>
            <w:tcW w:w="1004"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司法行政部门</w:t>
            </w:r>
          </w:p>
        </w:tc>
        <w:tc>
          <w:tcPr>
            <w:tcW w:w="2596" w:type="dxa"/>
            <w:noWrap w:val="0"/>
            <w:vAlign w:val="center"/>
          </w:tcPr>
          <w:p>
            <w:pPr>
              <w:widowControl/>
              <w:jc w:val="both"/>
              <w:textAlignment w:val="center"/>
              <w:rPr>
                <w:rFonts w:ascii="仿宋_GB2312" w:hAnsi="宋体" w:eastAsia="仿宋_GB2312"/>
                <w:color w:val="auto"/>
                <w:sz w:val="18"/>
                <w:szCs w:val="18"/>
              </w:rPr>
            </w:pPr>
            <w:r>
              <w:rPr>
                <w:rFonts w:ascii="仿宋_GB2312" w:hAnsi="宋体" w:eastAsia="仿宋_GB2312"/>
                <w:color w:val="auto"/>
                <w:sz w:val="18"/>
                <w:szCs w:val="18"/>
              </w:rPr>
              <w:t>■精准推送</w:t>
            </w:r>
          </w:p>
        </w:tc>
        <w:tc>
          <w:tcPr>
            <w:tcW w:w="1112"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rPr>
              <w:t>申请人</w:t>
            </w:r>
          </w:p>
        </w:tc>
        <w:tc>
          <w:tcPr>
            <w:tcW w:w="1126" w:type="dxa"/>
            <w:noWrap w:val="0"/>
            <w:vAlign w:val="center"/>
          </w:tcPr>
          <w:p>
            <w:pPr>
              <w:jc w:val="center"/>
              <w:rPr>
                <w:rFonts w:hint="eastAsia" w:ascii="仿宋_GB2312" w:hAnsi="宋体" w:eastAsia="仿宋_GB2312"/>
                <w:color w:val="auto"/>
                <w:sz w:val="18"/>
                <w:szCs w:val="18"/>
              </w:rPr>
            </w:pPr>
            <w:r>
              <w:rPr>
                <w:rFonts w:hint="eastAsia" w:ascii="仿宋_GB2312" w:hAnsi="宋体" w:eastAsia="仿宋_GB2312"/>
                <w:color w:val="auto"/>
                <w:sz w:val="18"/>
                <w:szCs w:val="18"/>
                <w:lang w:eastAsia="zh-CN"/>
              </w:rPr>
              <w:t>依申请公开</w:t>
            </w:r>
          </w:p>
        </w:tc>
      </w:tr>
    </w:tbl>
    <w:p/>
    <w:sectPr>
      <w:pgSz w:w="16838" w:h="11906" w:orient="landscape"/>
      <w:pgMar w:top="1531" w:right="2098" w:bottom="1531" w:left="170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E62221"/>
    <w:rsid w:val="03E62221"/>
    <w:rsid w:val="156758B0"/>
    <w:rsid w:val="331D678E"/>
    <w:rsid w:val="473A316B"/>
    <w:rsid w:val="4B0C4228"/>
    <w:rsid w:val="4D7B7443"/>
    <w:rsid w:val="53B048A1"/>
    <w:rsid w:val="5AFF16B3"/>
    <w:rsid w:val="5E1824AD"/>
    <w:rsid w:val="6BFD579B"/>
    <w:rsid w:val="6FE92658"/>
    <w:rsid w:val="7EEE0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single"/>
    </w:rPr>
  </w:style>
  <w:style w:type="character" w:styleId="7">
    <w:name w:val="Hyperlink"/>
    <w:basedOn w:val="5"/>
    <w:uiPriority w:val="0"/>
    <w:rPr>
      <w:color w:val="0000FF"/>
      <w:u w:val="single"/>
    </w:rPr>
  </w:style>
  <w:style w:type="character" w:customStyle="1" w:styleId="8">
    <w:name w:val="bsharetex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2020-10-14T11:36:00Z</dcterms:created>
  <dc:creator>武林</dc:creator>
  <cp:lastModifiedBy>Administrator</cp:lastModifiedBy>
  <dcterms:modified xsi:type="dcterms:W3CDTF">2021-12-14T07:53:07Z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4CBAEED85E0045B6AC2F0C85AB600633</vt:lpwstr>
  </property>
</Properties>
</file>